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 - Manuscript 5</w:t>
      </w:r>
    </w:p>
    <w:p>
      <w:r>
        <w:t>Table 1: Prevalence of Resistance Genes by Pathogen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Pathogen</w:t>
            </w:r>
          </w:p>
        </w:tc>
        <w:tc>
          <w:tcPr>
            <w:tcW w:type="dxa" w:w="1080"/>
          </w:tcPr>
          <w:p>
            <w:r>
              <w:t>NDM</w:t>
            </w:r>
          </w:p>
        </w:tc>
        <w:tc>
          <w:tcPr>
            <w:tcW w:type="dxa" w:w="1080"/>
          </w:tcPr>
          <w:p>
            <w:r>
              <w:t>OXA-48</w:t>
            </w:r>
          </w:p>
        </w:tc>
        <w:tc>
          <w:tcPr>
            <w:tcW w:type="dxa" w:w="1080"/>
          </w:tcPr>
          <w:p>
            <w:r>
              <w:t>OXA-23</w:t>
            </w:r>
          </w:p>
        </w:tc>
        <w:tc>
          <w:tcPr>
            <w:tcW w:type="dxa" w:w="1080"/>
          </w:tcPr>
          <w:p>
            <w:r>
              <w:t>CTX-M-15</w:t>
            </w:r>
          </w:p>
        </w:tc>
        <w:tc>
          <w:tcPr>
            <w:tcW w:type="dxa" w:w="1080"/>
          </w:tcPr>
          <w:p>
            <w:r>
              <w:t>VIM</w:t>
            </w:r>
          </w:p>
        </w:tc>
        <w:tc>
          <w:tcPr>
            <w:tcW w:type="dxa" w:w="1080"/>
          </w:tcPr>
          <w:p>
            <w:r>
              <w:t>mecA</w:t>
            </w:r>
          </w:p>
        </w:tc>
        <w:tc>
          <w:tcPr>
            <w:tcW w:type="dxa" w:w="1080"/>
          </w:tcPr>
          <w:p>
            <w:r>
              <w:t>vanA</w:t>
            </w:r>
          </w:p>
        </w:tc>
      </w:tr>
      <w:tr>
        <w:tc>
          <w:tcPr>
            <w:tcW w:type="dxa" w:w="1080"/>
          </w:tcPr>
          <w:p>
            <w:r>
              <w:t>Escherichia coli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  <w:tc>
          <w:tcPr>
            <w:tcW w:type="dxa" w:w="1080"/>
          </w:tcPr>
          <w:p>
            <w:r>
              <w:t>14.1%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Klebsiella pneumoniae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Acinetobacter baumannii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Pseudomonas aeruginosa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Staphylococcus aureus (MRSA)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Enterococcus faecium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</w:tr>
    </w:tbl>
    <w:p>
      <w:r>
        <w:br w:type="page"/>
      </w:r>
    </w:p>
    <w:p>
      <w:r>
        <w:t>Table 2: Susceptibility to Reserve Antimicrobial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Pathogen</w:t>
            </w:r>
          </w:p>
        </w:tc>
        <w:tc>
          <w:tcPr>
            <w:tcW w:type="dxa" w:w="1234"/>
          </w:tcPr>
          <w:p>
            <w:r>
              <w:t>Colistin</w:t>
            </w:r>
          </w:p>
        </w:tc>
        <w:tc>
          <w:tcPr>
            <w:tcW w:type="dxa" w:w="1234"/>
          </w:tcPr>
          <w:p>
            <w:r>
              <w:t>Fosfomycin</w:t>
            </w:r>
          </w:p>
        </w:tc>
        <w:tc>
          <w:tcPr>
            <w:tcW w:type="dxa" w:w="1234"/>
          </w:tcPr>
          <w:p>
            <w:r>
              <w:t>Linezolid</w:t>
            </w:r>
          </w:p>
        </w:tc>
        <w:tc>
          <w:tcPr>
            <w:tcW w:type="dxa" w:w="1234"/>
          </w:tcPr>
          <w:p>
            <w:r>
              <w:t>Minocycline</w:t>
            </w:r>
          </w:p>
        </w:tc>
        <w:tc>
          <w:tcPr>
            <w:tcW w:type="dxa" w:w="1234"/>
          </w:tcPr>
          <w:p>
            <w:r>
              <w:t>Tigecycline</w:t>
            </w:r>
          </w:p>
        </w:tc>
        <w:tc>
          <w:tcPr>
            <w:tcW w:type="dxa" w:w="1234"/>
          </w:tcPr>
          <w:p>
            <w:r>
              <w:t>Vancomycin</w:t>
            </w:r>
          </w:p>
        </w:tc>
      </w:tr>
      <w:tr>
        <w:tc>
          <w:tcPr>
            <w:tcW w:type="dxa" w:w="1234"/>
          </w:tcPr>
          <w:p>
            <w:r>
              <w:t>Acinetobacter baumannii</w:t>
            </w:r>
          </w:p>
        </w:tc>
        <w:tc>
          <w:tcPr>
            <w:tcW w:type="dxa" w:w="1234"/>
          </w:tcPr>
          <w:p>
            <w:r>
              <w:t>98.1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55.6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Enterococcus faecium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72.2</w:t>
            </w:r>
          </w:p>
        </w:tc>
      </w:tr>
      <w:tr>
        <w:tc>
          <w:tcPr>
            <w:tcW w:type="dxa" w:w="1234"/>
          </w:tcPr>
          <w:p>
            <w:r>
              <w:t>Escherichia coli</w:t>
            </w:r>
          </w:p>
        </w:tc>
        <w:tc>
          <w:tcPr>
            <w:tcW w:type="dxa" w:w="1234"/>
          </w:tcPr>
          <w:p>
            <w:r>
              <w:t>99.8</w:t>
            </w:r>
          </w:p>
        </w:tc>
        <w:tc>
          <w:tcPr>
            <w:tcW w:type="dxa" w:w="1234"/>
          </w:tcPr>
          <w:p>
            <w:r>
              <w:t>97.8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83.7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Klebsiella pneumoniae</w:t>
            </w:r>
          </w:p>
        </w:tc>
        <w:tc>
          <w:tcPr>
            <w:tcW w:type="dxa" w:w="1234"/>
          </w:tcPr>
          <w:p>
            <w:r>
              <w:t>94.4</w:t>
            </w:r>
          </w:p>
        </w:tc>
        <w:tc>
          <w:tcPr>
            <w:tcW w:type="dxa" w:w="1234"/>
          </w:tcPr>
          <w:p>
            <w:r>
              <w:t>61.5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54.9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Staphylococcus aureus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97.9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99.2</w:t>
            </w:r>
          </w:p>
        </w:tc>
      </w:tr>
      <w:tr>
        <w:tc>
          <w:tcPr>
            <w:tcW w:type="dxa" w:w="1234"/>
          </w:tcPr>
          <w:p>
            <w:r>
              <w:t>Staphylococcus aureus  (MRSA)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