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January 7, 2026</w:t>
      </w:r>
    </w:p>
    <w:p/>
    <w:p>
      <w:r>
        <w:t>To,</w:t>
      </w:r>
    </w:p>
    <w:p>
      <w:r>
        <w:t>The Editor-in-Chief</w:t>
      </w:r>
    </w:p>
    <w:p>
      <w:r>
        <w:t>Indian Journal of Medical Research</w:t>
      </w:r>
    </w:p>
    <w:p>
      <w:r>
        <w:t>New Delhi, India</w:t>
      </w:r>
    </w:p>
    <w:p/>
    <w:p>
      <w:r>
        <w:t>Subject: Submission of Research Brief</w:t>
      </w:r>
    </w:p>
    <w:p/>
    <w:p>
      <w:r>
        <w:t>Dear Editor,</w:t>
      </w:r>
    </w:p>
    <w:p>
      <w:r>
        <w:t>We are pleased to submit our Research Brief entitled "</w:t>
      </w:r>
      <w:r>
        <w:rPr>
          <w:i/>
        </w:rPr>
        <w:t>Clinical Burden of Antimicrobial-Resistant Bloodstream Infections in Indian ICUs: Analysis of ICMR Healthcare-Associated Infection Surveillance Data (2021-2024)</w:t>
      </w:r>
      <w:r>
        <w:t>" for consideration in the Indian Journal of Medical Research.</w:t>
      </w:r>
    </w:p>
    <w:p/>
    <w:p>
      <w:r>
        <w:t>This manuscript presents the first comprehensive synthesis of clinical outcomes (mortality and length of stay) from ICMR HAI surveillance data, revealing substantial burden with BSI mortality averaging 36% and carbapenem resistance exceeding 85% for key pathogens.</w:t>
      </w:r>
    </w:p>
    <w:p/>
    <w:p>
      <w:r>
        <w:t>Key findings include:</w:t>
      </w:r>
    </w:p>
    <w:p>
      <w:r>
        <w:t>• BSI mortality range: 20-44% across Indian ICUs</w:t>
      </w:r>
    </w:p>
    <w:p>
      <w:r>
        <w:t>• Encouraging decline from 44% (2022) to 29% (2024)</w:t>
      </w:r>
    </w:p>
    <w:p>
      <w:r>
        <w:t>• Critical carbapenem resistance (&gt;85%) for A. baumannii and K. pneumoniae</w:t>
      </w:r>
    </w:p>
    <w:p/>
    <w:p>
      <w:r>
        <w:t>We confirm that this manuscript has not been published elsewhere and is not under consideration by any other journal.</w:t>
      </w:r>
    </w:p>
    <w:p/>
    <w:p>
      <w:r>
        <w:t>Sincerely,</w:t>
      </w:r>
    </w:p>
    <w:p>
      <w:r>
        <w:t>Dr. Siddalingaiah H S</w:t>
      </w:r>
    </w:p>
    <w:p>
      <w:r>
        <w:t>Professor, Shridevi Institute of Medical Sciences</w:t>
      </w:r>
    </w:p>
    <w:p>
      <w:r>
        <w:t>Email: hssling@yahoo.com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