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Tables - Manuscript 4</w:t>
      </w:r>
    </w:p>
    <w:p/>
    <w:p>
      <w:r>
        <w:rPr>
          <w:b/>
        </w:rPr>
        <w:t xml:space="preserve">Table 1: </w:t>
      </w:r>
      <w:r>
        <w:t>Pathogen-Specific Antimicrobial Resistance and Clinical Outcomes in Indian ICUs (2021-2024)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Pathogen</w:t>
            </w:r>
          </w:p>
        </w:tc>
        <w:tc>
          <w:tcPr>
            <w:tcW w:type="dxa" w:w="1440"/>
          </w:tcPr>
          <w:p>
            <w:r>
              <w:t>Resistance</w:t>
            </w:r>
          </w:p>
        </w:tc>
        <w:tc>
          <w:tcPr>
            <w:tcW w:type="dxa" w:w="1440"/>
          </w:tcPr>
          <w:p>
            <w:r>
              <w:t>Antibiotic_Tested</w:t>
            </w:r>
          </w:p>
        </w:tc>
        <w:tc>
          <w:tcPr>
            <w:tcW w:type="dxa" w:w="1440"/>
          </w:tcPr>
          <w:p>
            <w:r>
              <w:t>BSI_Mortality_%</w:t>
            </w:r>
          </w:p>
        </w:tc>
        <w:tc>
          <w:tcPr>
            <w:tcW w:type="dxa" w:w="1440"/>
          </w:tcPr>
          <w:p>
            <w:r>
              <w:t>Median_LOS_days</w:t>
            </w:r>
          </w:p>
        </w:tc>
        <w:tc>
          <w:tcPr>
            <w:tcW w:type="dxa" w:w="1440"/>
          </w:tcPr>
          <w:p>
            <w:r>
              <w:t>N_observations</w:t>
            </w:r>
          </w:p>
        </w:tc>
      </w:tr>
      <w:tr>
        <w:tc>
          <w:tcPr>
            <w:tcW w:type="dxa" w:w="1440"/>
          </w:tcPr>
          <w:p>
            <w:r>
              <w:t>K. pneumoniae</w:t>
            </w:r>
          </w:p>
        </w:tc>
        <w:tc>
          <w:tcPr>
            <w:tcW w:type="dxa" w:w="1440"/>
          </w:tcPr>
          <w:p>
            <w:r>
              <w:t>75-80%</w:t>
            </w:r>
          </w:p>
        </w:tc>
        <w:tc>
          <w:tcPr>
            <w:tcW w:type="dxa" w:w="1440"/>
          </w:tcPr>
          <w:p>
            <w:r>
              <w:t>Imipenem</w:t>
            </w:r>
          </w:p>
        </w:tc>
        <w:tc>
          <w:tcPr>
            <w:tcW w:type="dxa" w:w="1440"/>
          </w:tcPr>
          <w:p>
            <w:r>
              <w:t>39.1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A. baumannii</w:t>
            </w:r>
          </w:p>
        </w:tc>
        <w:tc>
          <w:tcPr>
            <w:tcW w:type="dxa" w:w="1440"/>
          </w:tcPr>
          <w:p>
            <w:r>
              <w:t>88-91%</w:t>
            </w:r>
          </w:p>
        </w:tc>
        <w:tc>
          <w:tcPr>
            <w:tcW w:type="dxa" w:w="1440"/>
          </w:tcPr>
          <w:p>
            <w:r>
              <w:t>Imipenem</w:t>
            </w:r>
          </w:p>
        </w:tc>
        <w:tc>
          <w:tcPr>
            <w:tcW w:type="dxa" w:w="1440"/>
          </w:tcPr>
          <w:p>
            <w:r>
              <w:t>39.1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S. aureus (MRSA)</w:t>
            </w:r>
          </w:p>
        </w:tc>
        <w:tc>
          <w:tcPr>
            <w:tcW w:type="dxa" w:w="1440"/>
          </w:tcPr>
          <w:p>
            <w:r>
              <w:t>63-87%</w:t>
            </w:r>
          </w:p>
        </w:tc>
        <w:tc>
          <w:tcPr>
            <w:tcW w:type="dxa" w:w="1440"/>
          </w:tcPr>
          <w:p>
            <w:r>
              <w:t>Oxacillin</w:t>
            </w:r>
          </w:p>
        </w:tc>
        <w:tc>
          <w:tcPr>
            <w:tcW w:type="dxa" w:w="1440"/>
          </w:tcPr>
          <w:p>
            <w:r>
              <w:t>39.6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E. faecium (VRE)</w:t>
            </w:r>
          </w:p>
        </w:tc>
        <w:tc>
          <w:tcPr>
            <w:tcW w:type="dxa" w:w="1440"/>
          </w:tcPr>
          <w:p>
            <w:r>
              <w:t>42%</w:t>
            </w:r>
          </w:p>
        </w:tc>
        <w:tc>
          <w:tcPr>
            <w:tcW w:type="dxa" w:w="1440"/>
          </w:tcPr>
          <w:p>
            <w:r>
              <w:t>Vancomycin</w:t>
            </w:r>
          </w:p>
        </w:tc>
        <w:tc>
          <w:tcPr>
            <w:tcW w:type="dxa" w:w="1440"/>
          </w:tcPr>
          <w:p>
            <w:r>
              <w:t>39.6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E. coli</w:t>
            </w:r>
          </w:p>
        </w:tc>
        <w:tc>
          <w:tcPr>
            <w:tcW w:type="dxa" w:w="1440"/>
          </w:tcPr>
          <w:p>
            <w:r>
              <w:t>28-51%</w:t>
            </w:r>
          </w:p>
        </w:tc>
        <w:tc>
          <w:tcPr>
            <w:tcW w:type="dxa" w:w="1440"/>
          </w:tcPr>
          <w:p>
            <w:r>
              <w:t>Imipenem</w:t>
            </w:r>
          </w:p>
        </w:tc>
        <w:tc>
          <w:tcPr>
            <w:tcW w:type="dxa" w:w="1440"/>
          </w:tcPr>
          <w:p>
            <w:r>
              <w:t>29.4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</w:tbl>
    <w:p>
      <w:r>
        <w:br w:type="page"/>
      </w:r>
    </w:p>
    <w:p>
      <w:r>
        <w:rPr>
          <w:b/>
        </w:rPr>
        <w:t xml:space="preserve">Table 2: </w:t>
      </w:r>
      <w:r>
        <w:t>Temporal Trends in BSI Mortality and ICU Length of Stay (2021-2024)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BSI_Mortality_%</w:t>
            </w:r>
          </w:p>
        </w:tc>
        <w:tc>
          <w:tcPr>
            <w:tcW w:type="dxa" w:w="2160"/>
          </w:tcPr>
          <w:p>
            <w:r>
              <w:t>N_Observations</w:t>
            </w:r>
          </w:p>
        </w:tc>
        <w:tc>
          <w:tcPr>
            <w:tcW w:type="dxa" w:w="2160"/>
          </w:tcPr>
          <w:p>
            <w:r>
              <w:t>Median_LOS_days</w:t>
            </w:r>
          </w:p>
        </w:tc>
      </w:tr>
      <w:tr>
        <w:tc>
          <w:tcPr>
            <w:tcW w:type="dxa" w:w="2160"/>
          </w:tcPr>
          <w:p>
            <w:r>
              <w:t>2021.0</w:t>
            </w:r>
          </w:p>
        </w:tc>
        <w:tc>
          <w:tcPr>
            <w:tcW w:type="dxa" w:w="2160"/>
          </w:tcPr>
          <w:p>
            <w:r>
              <w:t>38.1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56.0</w:t>
            </w:r>
          </w:p>
        </w:tc>
      </w:tr>
      <w:tr>
        <w:tc>
          <w:tcPr>
            <w:tcW w:type="dxa" w:w="2160"/>
          </w:tcPr>
          <w:p>
            <w:r>
              <w:t>2022.0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18.0</w:t>
            </w:r>
          </w:p>
        </w:tc>
      </w:tr>
      <w:tr>
        <w:tc>
          <w:tcPr>
            <w:tcW w:type="dxa" w:w="2160"/>
          </w:tcPr>
          <w:p>
            <w:r>
              <w:t>2023.0</w:t>
            </w:r>
          </w:p>
        </w:tc>
        <w:tc>
          <w:tcPr>
            <w:tcW w:type="dxa" w:w="2160"/>
          </w:tcPr>
          <w:p>
            <w:r>
              <w:t>32.1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</w:tr>
      <w:tr>
        <w:tc>
          <w:tcPr>
            <w:tcW w:type="dxa" w:w="2160"/>
          </w:tcPr>
          <w:p>
            <w:r>
              <w:t>2024.0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