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Figures - Manuscript 5</w:t>
      </w:r>
    </w:p>
    <w:p>
      <w:r>
        <w:t>Figure 1: Distribution of Resistance Genes by Pathogen</w:t>
      </w:r>
    </w:p>
    <w:p>
      <w:r>
        <w:drawing>
          <wp:inline xmlns:a="http://schemas.openxmlformats.org/drawingml/2006/main" xmlns:pic="http://schemas.openxmlformats.org/drawingml/2006/picture">
            <wp:extent cx="5486400" cy="34263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gene_heatma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63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Figure 2: Temporal Trends in Resistance Genes</w:t>
      </w:r>
    </w:p>
    <w:p>
      <w:r>
        <w:drawing>
          <wp:inline xmlns:a="http://schemas.openxmlformats.org/drawingml/2006/main" xmlns:pic="http://schemas.openxmlformats.org/drawingml/2006/picture">
            <wp:extent cx="5486400" cy="327301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temporal_trend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730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t>Figure 3: Susceptibility to Reserve Agents</w:t>
      </w:r>
    </w:p>
    <w:p>
      <w:r>
        <w:drawing>
          <wp:inline xmlns:a="http://schemas.openxmlformats.org/drawingml/2006/main" xmlns:pic="http://schemas.openxmlformats.org/drawingml/2006/picture">
            <wp:extent cx="5486400" cy="32833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reserve_ag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333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