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January 07, 2026</w:t>
      </w:r>
    </w:p>
    <w:p/>
    <w:p>
      <w:r>
        <w:t>To,</w:t>
      </w:r>
    </w:p>
    <w:p>
      <w:r>
        <w:t>The Editor-in-Chief</w:t>
      </w:r>
    </w:p>
    <w:p>
      <w:r>
        <w:t>Indian Journal of Critical Care Medicine (IJCCM)</w:t>
      </w:r>
    </w:p>
    <w:p>
      <w:r>
        <w:t>Official Publication of the Indian Society of Critical Care Medicine</w:t>
      </w:r>
    </w:p>
    <w:p/>
    <w:p>
      <w:r>
        <w:rPr>
          <w:b/>
        </w:rPr>
        <w:t xml:space="preserve">Subject: </w:t>
      </w:r>
      <w:r>
        <w:t>Submission of Original Article – "The Decoupling Paradox: High AMR Does Not Linearly Predict Mortality in Indian Tertiary Care Centers"</w:t>
      </w:r>
    </w:p>
    <w:p/>
    <w:p>
      <w:r>
        <w:t>Dear Editor,</w:t>
      </w:r>
    </w:p>
    <w:p/>
    <w:p>
      <w:r>
        <w:t xml:space="preserve">We are pleased to submit our original research article titled </w:t>
      </w:r>
      <w:r>
        <w:rPr>
          <w:b/>
        </w:rPr>
        <w:t>"The Decoupling Paradox: High Antimicrobial Resistance Does Not Linearly Predict Mortality in Indian Tertiary Care Centers"</w:t>
      </w:r>
      <w:r>
        <w:t xml:space="preserve"> for consideration for publication in the Indian Journal of Critical Care Medicine.</w:t>
      </w:r>
    </w:p>
    <w:p/>
    <w:p>
      <w:r>
        <w:rPr>
          <w:b/>
        </w:rPr>
        <w:t>Relevance to IJCCM Readership</w:t>
      </w:r>
    </w:p>
    <w:p>
      <w:r>
        <w:t>This study directly addresses the core mandate of critical care medicine: saving lives in the face of resistant infections. Our findings challenge the dogma that higher AMR rates inevitably translate to higher ICU mortality, demonstrating that 'Structural Resilience' (intensivist coverage, advanced supportive care) can buffer the impact of superbugs. This has immediate implications for:</w:t>
      </w:r>
    </w:p>
    <w:p>
      <w:pPr>
        <w:pStyle w:val="ListBullet"/>
      </w:pPr>
      <w:r>
        <w:t>ICU Quality Metrics: Moving beyond crude resistance rates to 'Rescue Rates'.</w:t>
      </w:r>
    </w:p>
    <w:p>
      <w:pPr>
        <w:pStyle w:val="ListBullet"/>
      </w:pPr>
      <w:r>
        <w:t>Resource Allocation: Justifying investment in critical care infrastructure.</w:t>
      </w:r>
    </w:p>
    <w:p>
      <w:pPr>
        <w:pStyle w:val="ListBullet"/>
      </w:pPr>
      <w:r>
        <w:t>Policy Debate: Preventing the 'creaming' of complex patients by hospitals.</w:t>
      </w:r>
    </w:p>
    <w:p/>
    <w:p>
      <w:r>
        <w:rPr>
          <w:b/>
        </w:rPr>
        <w:t>Key Findings</w:t>
      </w:r>
    </w:p>
    <w:p>
      <w:pPr>
        <w:pStyle w:val="ListBullet"/>
      </w:pPr>
      <w:r>
        <w:t>No significant correlation (R²=0.009, p=0.78) between facility-level CRKP rates and mortality.</w:t>
      </w:r>
    </w:p>
    <w:p>
      <w:pPr>
        <w:pStyle w:val="ListBullet"/>
      </w:pPr>
      <w:r>
        <w:t>Proposed 'Indian AMR Vulnerability Index (IAVI)' for acuity-adjusted metrics.</w:t>
      </w:r>
    </w:p>
    <w:p>
      <w:pPr>
        <w:pStyle w:val="ListBullet"/>
      </w:pPr>
      <w:r>
        <w:t>Parallel drawn with TB control: system quality matters more than bug phenotype.</w:t>
      </w:r>
    </w:p>
    <w:p/>
    <w:p>
      <w:r>
        <w:rPr>
          <w:b/>
        </w:rPr>
        <w:t>Manuscript Details</w:t>
      </w:r>
    </w:p>
    <w:p>
      <w:pPr>
        <w:pStyle w:val="ListBullet"/>
      </w:pPr>
      <w:r>
        <w:t>Word Count: ~3,200 words</w:t>
      </w:r>
    </w:p>
    <w:p>
      <w:pPr>
        <w:pStyle w:val="ListBullet"/>
      </w:pPr>
      <w:r>
        <w:t>Tables: 2</w:t>
      </w:r>
    </w:p>
    <w:p>
      <w:pPr>
        <w:pStyle w:val="ListBullet"/>
      </w:pPr>
      <w:r>
        <w:t>Figures: 2</w:t>
      </w:r>
    </w:p>
    <w:p>
      <w:pPr>
        <w:pStyle w:val="ListBullet"/>
      </w:pPr>
      <w:r>
        <w:t>References: 26</w:t>
      </w:r>
    </w:p>
    <w:p/>
    <w:p>
      <w:r>
        <w:rPr>
          <w:b/>
        </w:rPr>
        <w:t>Declarations</w:t>
      </w:r>
    </w:p>
    <w:p>
      <w:pPr>
        <w:pStyle w:val="ListBullet"/>
      </w:pPr>
      <w:r>
        <w:t>This manuscript is original and not under consideration elsewhere.</w:t>
      </w:r>
    </w:p>
    <w:p>
      <w:pPr>
        <w:pStyle w:val="ListBullet"/>
      </w:pPr>
      <w:r>
        <w:t>All authors have approved the final manuscript.</w:t>
      </w:r>
    </w:p>
    <w:p>
      <w:pPr>
        <w:pStyle w:val="ListBullet"/>
      </w:pPr>
      <w:r>
        <w:t>Ethical approval was waived (anonymized, aggregated ICMR public data).</w:t>
      </w:r>
    </w:p>
    <w:p>
      <w:pPr>
        <w:pStyle w:val="ListBullet"/>
      </w:pPr>
      <w:r>
        <w:t>No conflicts of interest.</w:t>
      </w:r>
    </w:p>
    <w:p>
      <w:pPr>
        <w:pStyle w:val="ListBullet"/>
      </w:pPr>
      <w:r>
        <w:t>Self-funded research.</w:t>
      </w:r>
    </w:p>
    <w:p>
      <w:pPr>
        <w:pStyle w:val="ListBullet"/>
      </w:pPr>
      <w:r>
        <w:t>AI assistance disclosed per ICMJE guidelines.</w:t>
      </w:r>
    </w:p>
    <w:p/>
    <w:p>
      <w:r>
        <w:t>We believe this work will stimulate important debate among IJCCM readers about how we measure and reward ICU quality in the age of AMR.</w:t>
      </w:r>
    </w:p>
    <w:p/>
    <w:p>
      <w:r>
        <w:t>Thank you for your consideration.</w:t>
      </w:r>
    </w:p>
    <w:p/>
    <w:p>
      <w:r>
        <w:t>Sincerely,</w:t>
      </w:r>
    </w:p>
    <w:p/>
    <w:p>
      <w:r>
        <w:rPr>
          <w:b/>
        </w:rPr>
        <w:t>Dr. Siddalingaiah H S</w:t>
      </w:r>
    </w:p>
    <w:p>
      <w:r>
        <w:t>Professor, Department of Community Medicine</w:t>
      </w:r>
    </w:p>
    <w:p>
      <w:r>
        <w:t>Shridevi Institute of Medical Sciences and Research Hospital</w:t>
      </w:r>
    </w:p>
    <w:p>
      <w:r>
        <w:t>Tumkur, Karnataka, India – 572106</w:t>
      </w:r>
    </w:p>
    <w:p>
      <w:r>
        <w:t>Email: hssling@yahoo.com</w:t>
      </w:r>
    </w:p>
    <w:p>
      <w:r>
        <w:t>Phone: +91-8941087719</w:t>
      </w:r>
    </w:p>
    <w:p>
      <w:r>
        <w:t>ORCID: 0000-0002-4771-8285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