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000000"/>
        </w:rPr>
        <w:t>Figures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rtality_outcome_enhanc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/>
          <w:i/>
          <w:sz w:val="20"/>
        </w:rPr>
        <w:t>Figure 1: Scatter plot of Carbapenem Resistance (%) vs. Aggregate Mortality (%) across 11 center-years. The flat regression line (R²=0.009, p=0.778) illustrates the 'Decoupling Paradox' - facility-level resistance burden does not predict aggregate mortality.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02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esistanc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29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/>
          <w:i/>
          <w:sz w:val="20"/>
        </w:rPr>
        <w:t>Figure 2: Distribution of Carbapenem Resistance in *Klebsiella pneumoniae* across ICMR-AMRSN Regional Centers (2017-2024). Box plot shows median, interquartile range, and outliers.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