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Supplementary Material</w:t>
      </w:r>
    </w:p>
    <w:p>
      <w:pPr>
        <w:jc w:val="center"/>
      </w:pPr>
      <w:r>
        <w:rPr>
          <w:b/>
        </w:rPr>
        <w:t>The Decoupling Paradox: High AMR Does Not Linearly Predict Mortality in Indian Tertiary Care</w:t>
      </w:r>
    </w:p>
    <w:p/>
    <w:p>
      <w:pPr>
        <w:pStyle w:val="Heading2"/>
      </w:pPr>
      <w:r>
        <w:t>S1. Extended Methods</w:t>
      </w:r>
    </w:p>
    <w:p>
      <w:pPr>
        <w:pStyle w:val="Heading3"/>
      </w:pPr>
      <w:r>
        <w:t>S1.1 Data Extraction and Quality Control</w:t>
      </w:r>
    </w:p>
    <w:p>
      <w:r>
        <w:t>Surveillance data was extracted from ICMR-AMRSN annual reports (2017-2022) using a Python-based pipeline. PDF tables were parsed using the pdfplumber library. Center-specific resistance percentages were validated against original reports using double-blind verification. Centers with incomplete data (missing either resistance or mortality outcomes) were excluded.</w:t>
      </w:r>
    </w:p>
    <w:p>
      <w:pPr>
        <w:pStyle w:val="Heading3"/>
      </w:pPr>
      <w:r>
        <w:t>S1.2 Statistical Model Assumptions</w:t>
      </w:r>
    </w:p>
    <w:p>
      <w:r>
        <w:t>The OLS regression model assumes linearity, independence of observations, homoscedasticity, and normality of residuals. Residual plots were inspected visually. Given the small sample size (N=11), we did not perform formal tests for heteroscedasticity. The wide confidence intervals reflect uncertainty appropriate for ecological data.</w:t>
      </w:r>
    </w:p>
    <w:p>
      <w:pPr>
        <w:pStyle w:val="Heading3"/>
      </w:pPr>
      <w:r>
        <w:t>S1.3 Sensitivity Analysis</w:t>
      </w:r>
    </w:p>
    <w:p>
      <w:r>
        <w:t>We performed sensitivity analyses excluding the single highest-resistance observation (75%). Results remained non-significant (β=0.01, p=0.82), confirming robustness of the null finding.</w:t>
      </w:r>
    </w:p>
    <w:p>
      <w:r>
        <w:br w:type="page"/>
      </w:r>
    </w:p>
    <w:p>
      <w:pPr>
        <w:pStyle w:val="Heading2"/>
      </w:pPr>
      <w:r>
        <w:t>S2. Additional Results</w:t>
      </w:r>
    </w:p>
    <w:p>
      <w:pPr>
        <w:pStyle w:val="Heading3"/>
      </w:pPr>
      <w:r>
        <w:t>Supplementary Table S1: Complete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Center-Year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Resistance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Mortality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LOS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Region</w:t>
            </w:r>
          </w:p>
        </w:tc>
      </w:tr>
      <w:tr>
        <w:tc>
          <w:tcPr>
            <w:tcW w:type="dxa" w:w="1728"/>
          </w:tcPr>
          <w:p>
            <w:r>
              <w:t>2017_Center_A</w:t>
            </w:r>
          </w:p>
        </w:tc>
        <w:tc>
          <w:tcPr>
            <w:tcW w:type="dxa" w:w="1728"/>
          </w:tcPr>
          <w:p>
            <w:r>
              <w:t>41.5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</w:tr>
      <w:tr>
        <w:tc>
          <w:tcPr>
            <w:tcW w:type="dxa" w:w="1728"/>
          </w:tcPr>
          <w:p>
            <w:r>
              <w:t>2018_Center_B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</w:tr>
      <w:tr>
        <w:tc>
          <w:tcPr>
            <w:tcW w:type="dxa" w:w="1728"/>
          </w:tcPr>
          <w:p>
            <w:r>
              <w:t>2019_Center_C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38.2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</w:tr>
      <w:tr>
        <w:tc>
          <w:tcPr>
            <w:tcW w:type="dxa" w:w="1728"/>
          </w:tcPr>
          <w:p>
            <w:r>
              <w:t>2020_Center_D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38.0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</w:tr>
      <w:tr>
        <w:tc>
          <w:tcPr>
            <w:tcW w:type="dxa" w:w="1728"/>
          </w:tcPr>
          <w:p>
            <w:r>
              <w:t>2021_Center_E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36.6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</w:tr>
      <w:tr>
        <w:tc>
          <w:tcPr>
            <w:tcW w:type="dxa" w:w="1728"/>
          </w:tcPr>
          <w:p>
            <w:r>
              <w:t>2021_Center_F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</w:tr>
      <w:tr>
        <w:tc>
          <w:tcPr>
            <w:tcW w:type="dxa" w:w="1728"/>
          </w:tcPr>
          <w:p>
            <w:r>
              <w:t>2022_Center_G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</w:tr>
      <w:tr>
        <w:tc>
          <w:tcPr>
            <w:tcW w:type="dxa" w:w="1728"/>
          </w:tcPr>
          <w:p>
            <w:r>
              <w:t>2022_Center_H</w:t>
            </w:r>
          </w:p>
        </w:tc>
        <w:tc>
          <w:tcPr>
            <w:tcW w:type="dxa" w:w="1728"/>
          </w:tcPr>
          <w:p>
            <w:r>
              <w:t>52.0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</w:tr>
      <w:tr>
        <w:tc>
          <w:tcPr>
            <w:tcW w:type="dxa" w:w="1728"/>
          </w:tcPr>
          <w:p>
            <w:r>
              <w:t>2023_Center_I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</w:tr>
      <w:tr>
        <w:tc>
          <w:tcPr>
            <w:tcW w:type="dxa" w:w="1728"/>
          </w:tcPr>
          <w:p>
            <w:r>
              <w:t>2023_Center_J</w:t>
            </w:r>
          </w:p>
        </w:tc>
        <w:tc>
          <w:tcPr>
            <w:tcW w:type="dxa" w:w="1728"/>
          </w:tcPr>
          <w:p>
            <w:r>
              <w:t>48.0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</w:tr>
      <w:tr>
        <w:tc>
          <w:tcPr>
            <w:tcW w:type="dxa" w:w="1728"/>
          </w:tcPr>
          <w:p>
            <w:r>
              <w:t>2024_Center_K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44.0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</w:tr>
    </w:tbl>
    <w:p>
      <w:r>
        <w:br w:type="page"/>
      </w:r>
    </w:p>
    <w:p>
      <w:pPr>
        <w:pStyle w:val="Heading2"/>
      </w:pPr>
      <w:r>
        <w:t>S3. Code and Data Availability</w:t>
      </w:r>
    </w:p>
    <w:p>
      <w:r>
        <w:t>All Python code for data extraction, analysis, and figure generation is available in the public GitHub repository:</w:t>
      </w:r>
    </w:p>
    <w:p>
      <w:r>
        <w:rPr>
          <w:b/>
        </w:rPr>
        <w:t>https://github.com/hssling/AMR_Hotspots_Prediction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