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**Dr. Siddalingaiah H S**</w:t>
      </w:r>
    </w:p>
    <w:p>
      <w:r>
        <w:t>Professor, Community Medicine</w:t>
      </w:r>
    </w:p>
    <w:p>
      <w:r>
        <w:t>Shridevi Institute of Medical Sciences and Research Hospital</w:t>
      </w:r>
    </w:p>
    <w:p>
      <w:r>
        <w:t>Tumkur, Karnataka, India</w:t>
      </w:r>
    </w:p>
    <w:p>
      <w:r>
        <w:t>Email: hssling@yahoo.com | Phone: 8941087719</w:t>
      </w:r>
    </w:p>
    <w:p>
      <w:r>
        <w:t>**Date**: January 07, 2026</w:t>
      </w:r>
    </w:p>
    <w:p>
      <w:r>
        <w:t>**To,**</w:t>
      </w:r>
    </w:p>
    <w:p>
      <w:r>
        <w:t>**The Editor-in-Chief,**</w:t>
      </w:r>
    </w:p>
    <w:p>
      <w:r>
        <w:t>**Indian Journal of Critical Care Medicine (IJCCM)**</w:t>
      </w:r>
    </w:p>
    <w:p>
      <w:r>
        <w:t>**Subject**: Submission of Original Article titled "The Decoupling Paradox: Why High Antimicrobial Resistance Does Not Linearly Predict Mortality in Indian Tertiary Care Centers"</w:t>
      </w:r>
    </w:p>
    <w:p>
      <w:r>
        <w:t>Dear Editor,</w:t>
      </w:r>
    </w:p>
    <w:p>
      <w:r>
        <w:t>I am pleased to submit our original research article for consideration in the *Indian Journal of Critical Care Medicine*.</w:t>
      </w:r>
    </w:p>
    <w:p>
      <w:r>
        <w:t>Antimicrobial Resistance (AMR) is a top priority for critical care in India. However, the exact relationship between facility-level resistance rates and patient mortality remains debated. In this ecological study of 11 sentinel center-years, we report a provocative finding: the "Decoupling" of resistance burden from aggregate mortality outcomes ($p=0.78$).</w:t>
      </w:r>
    </w:p>
    <w:p>
      <w:r>
        <w:t>**Key Highlights**:</w:t>
      </w:r>
    </w:p>
    <w:p>
      <w:r>
        <w:t>*   **Counter-Intuitive Finding**: High-resistance centers often maintain robust survival rates, challenging the simplistic "Resistance = Death" narrative.</w:t>
      </w:r>
    </w:p>
    <w:p>
      <w:r>
        <w:t>*   **System Resilience**: We hypothesize that structural factors (ICU quality, stewardship) act as "buffers," protecting patients even in high-prevalence environments.</w:t>
      </w:r>
    </w:p>
    <w:p>
      <w:r>
        <w:t>*   **TB Parallels**: We draw actionable lessons from the MDR-TB control program, advocating for acuity-adjusted performance metrics.</w:t>
      </w:r>
    </w:p>
    <w:p>
      <w:r>
        <w:t>This manuscript is particularly relevant to the readership of IJCCM as it argues for a shift in focus from "bug-centric" metrics to "system-centric" resilience in intensive care settings.</w:t>
      </w:r>
    </w:p>
    <w:p>
      <w:r>
        <w:t>This work has not been published previously and is not under consideration elsewhere. All authors have read and approved the manuscript.</w:t>
      </w:r>
    </w:p>
    <w:p>
      <w:r>
        <w:t>Thank you for your consideration.</w:t>
      </w:r>
    </w:p>
    <w:p>
      <w:r>
        <w:t>Sincerely,</w:t>
      </w:r>
    </w:p>
    <w:p>
      <w:r>
        <w:t>**(Signature)**</w:t>
      </w:r>
    </w:p>
    <w:p>
      <w:r>
        <w:t>**Dr. Siddalingaiah H S**</w:t>
      </w:r>
    </w:p>
    <w:p>
      <w:r>
        <w:t>Professor, Community Medicine</w:t>
      </w:r>
    </w:p>
    <w:p>
      <w:r>
        <w:t>Shridevi Institute of Medical Sciences</w:t>
      </w:r>
    </w:p>
    <w:p>
      <w:r>
        <w:t>Tumkur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