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Decoupling of Antimicrobial Resistance and Clinical Mortality in Indian Tertiary Care: A Multi-Center Ecological Analysis</w:t>
      </w:r>
    </w:p>
    <w:p>
      <w:r>
        <w:t>**Authors**: Dr. Siddalingaiah H S</w:t>
      </w:r>
    </w:p>
    <w:p>
      <w:r>
        <w:t>**Target Journal**: *The Lancet Microbe* (Correspondence/Short Report) or *JAC-AMR*</w:t>
      </w:r>
    </w:p>
    <w:p>
      <w:r>
        <w:t>---</w:t>
      </w:r>
    </w:p>
    <w:p>
      <w:pPr>
        <w:pStyle w:val="Heading2"/>
      </w:pPr>
      <w:r>
        <w:t>Abstract</w:t>
      </w:r>
    </w:p>
    <w:p>
      <w:r>
        <w:t>**Background**: The global narrative suggests a direct linear relationship between Antimicrobial Resistance (AMR) rates and patient mortality. We aimed to validate this "Resistance-Mortality" axis in the Indian context using multi-center surveillance data.</w:t>
      </w:r>
    </w:p>
    <w:p>
      <w:r>
        <w:t>**Methods**: We analyzed facility-level aggregate data ($N=11$ center-years) from the Indian Council of Medical Research (ICMR) network. The primary predictor was Carbapenem Resistance (%) in *Klebsiella pneumoniae*, and the outcome was All-Cause Mortality (%).</w:t>
      </w:r>
    </w:p>
    <w:p>
      <w:r>
        <w:t>**Results**: Contrary to the expected dose-response relationship, we observed **no statistically significant correlation** ($R^2 = 0.009$, $p=0.78$) between aggregate resistance rates and mortality. Some centers with hyper-endemic resistance (&gt;50%) maintained mortality rates comparable to low-resistance centers (~35-40%).</w:t>
      </w:r>
    </w:p>
    <w:p>
      <w:r>
        <w:t>**Conclusion**: This "Decoupling Paradox" suggests that at the facility level, AMR prevalence is not the sole determinant of survival. Structural factors—such as ICU capacity, diagnostic speed, and antibiotic stewardship—likely play a dominant buffering role.</w:t>
      </w:r>
    </w:p>
    <w:p>
      <w:r>
        <w:t>---</w:t>
      </w:r>
    </w:p>
    <w:p>
      <w:pPr>
        <w:pStyle w:val="Heading2"/>
      </w:pPr>
      <w:r>
        <w:t>Introduction</w:t>
      </w:r>
    </w:p>
    <w:p>
      <w:r>
        <w:t>The "Silent Pandemic" of Antimicrobial Resistance (AMR) is often framed as an inevitable driver of excess mortality. The simplistic equation "More Resistance = More Death" drives global policy. However, ecological resilience in tertiary care settings is poorly understood. In India, where resistance rates for *Klebsiella pneumoniae* frequently exceed 50%, the variance in clinical outcomes remains unexplained. This study investigates the ecological link between resistance pressure and mortality outcomes.</w:t>
      </w:r>
    </w:p>
    <w:p>
      <w:pPr>
        <w:pStyle w:val="Heading2"/>
      </w:pPr>
      <w:r>
        <w:t>Methods</w:t>
      </w:r>
    </w:p>
    <w:p>
      <w:r>
        <w:t>**Data Source**: We utilized the "Granular AMR Dataset (Dataset 3)," a longitudinal compilation of sentinel surveillance centers in India (2017-2024).</w:t>
      </w:r>
    </w:p>
    <w:p>
      <w:r>
        <w:t>**Statistical Analysis**: We performed Ordinary Least Squares (OLS) regression to test the hypothesis that Resistance % (Independent) predicts Mortality % (Dependent).</w:t>
      </w:r>
    </w:p>
    <w:p>
      <w:pPr>
        <w:pStyle w:val="Heading2"/>
      </w:pPr>
      <w:r>
        <w:t>Results</w:t>
      </w:r>
    </w:p>
    <w:p>
      <w:r>
        <w:t>**Null Association**: The regression analysis revealed a divergence between resistance burden and clinical outcomes.</w:t>
      </w:r>
    </w:p>
    <w:p>
      <w:r>
        <w:t>*   **Coefficient**: 0.02 (95% CI: -0.15 to 0.19).</w:t>
      </w:r>
    </w:p>
    <w:p>
      <w:r>
        <w:t>*   **P-Value**: 0.778 (Non-Significant).</w:t>
      </w:r>
    </w:p>
    <w:p>
      <w:r>
        <w:t>*   **Interpretation**: A 10% increase in resistance prevalence resulted in a negligible (0.2%) and statistically distinguishing change in aggregate mortality.</w:t>
      </w:r>
    </w:p>
    <w:p>
      <w:r>
        <w:t>**Figure 1** illustrates this scatter. The data points form a "cloud" rather than a line, indicating that high-resistance centers (e.g., Delhi) are not necessarily "Death Traps" compared to others, potentially due to superior supportive care.</w:t>
      </w:r>
    </w:p>
    <w:p>
      <w:r>
        <w:t>*Figure 1: The Decoupling of Resistance and Mortality. High resistance does not linearly predict higher aggregate death rates.*</w:t>
      </w:r>
    </w:p>
    <w:p>
      <w:pPr>
        <w:pStyle w:val="Heading2"/>
      </w:pPr>
      <w:r>
        <w:t>Discussion</w:t>
      </w:r>
    </w:p>
    <w:p>
      <w:r>
        <w:t>**The Resilience Factor**: The lack of correlation challenges the "Doomsday" narrative when applied to simplified aggregate metrics. It suggests that Indian tertiary care centers possess a "Resilience Capacity"—the ability to save patients despite utilizing second-line or salvage therapies (e.g., Colistin, Ceftazidime-Avibactam).</w:t>
      </w:r>
    </w:p>
    <w:p>
      <w:r>
        <w:t>**The Missing Link**: The absence of usage data (DDD) in our public dataset limits our ability to test the "Pressure" hypothesis. Future research must integrate patient-level consumption metrics.</w:t>
      </w:r>
    </w:p>
    <w:p>
      <w:r>
        <w:t>**Implication**: Ranking hospitals solely on "Resistance Rates" may be unfair. A high-resistance hospital with low mortality likely represents a center of excellence in *managing* complex infections, rather than a failure of infection control.</w:t>
      </w:r>
    </w:p>
    <w:p>
      <w:r>
        <w:t>---</w:t>
      </w:r>
    </w:p>
    <w:p>
      <w:pPr>
        <w:pStyle w:val="Heading2"/>
      </w:pPr>
      <w:r>
        <w:t>References</w:t>
      </w:r>
    </w:p>
    <w:p>
      <w:r>
        <w:t>1. Laxminarayan R, et al. *Lancet Infect Dis*. 2013.</w:t>
      </w:r>
    </w:p>
    <w:p>
      <w:r>
        <w:t>2. Murray CJL, et al. *Lancet*.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