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Decoupling Paradox: High Antimicrobial Resistance Does Not Linearly Predict Mortality in Indian Tertiary Care Centers</w:t>
      </w:r>
    </w:p>
    <w:p>
      <w:r>
        <w:t>**Type of Article**: Original Article</w:t>
      </w:r>
    </w:p>
    <w:p>
      <w:r>
        <w:t>**Target Journal**: Indian Journal of Critical Care Medicine (IJCCM)</w:t>
      </w:r>
    </w:p>
    <w:p>
      <w:r>
        <w:t>**Running Title**: Decoupling of AMR and Mortality in India</w:t>
      </w:r>
    </w:p>
    <w:p>
      <w:r>
        <w:t>**Authors**:</w:t>
      </w:r>
    </w:p>
    <w:p>
      <w:r>
        <w:t>1.  **Dr. Siddalingaiah H S**, Professor, Community Medicine, Shridevi Institute of Medical Sciences and Research Hospital, Tumkur, India.</w:t>
      </w:r>
    </w:p>
    <w:p>
      <w:r>
        <w:t>**Corresponding Author**:</w:t>
      </w:r>
    </w:p>
    <w:p>
      <w:r>
        <w:t>Dr. Siddalingaiah H S</w:t>
      </w:r>
    </w:p>
    <w:p>
      <w:r>
        <w:t>Professor, Community Medicine</w:t>
      </w:r>
    </w:p>
    <w:p>
      <w:r>
        <w:t>Shridevi Institute of Medical Sciences and Research Hospital, Tumkur</w:t>
      </w:r>
    </w:p>
    <w:p>
      <w:r>
        <w:t>Email: hssling@yahoo.com | Phone: 8941087719</w:t>
      </w:r>
    </w:p>
    <w:p>
      <w:r>
        <w:t>ORCID: [0000-0002-4771-8285](https://orcid.org/0000-0002-4771-8285)</w:t>
      </w:r>
    </w:p>
    <w:p>
      <w:r>
        <w:t>**Word Count**:</w:t>
      </w:r>
    </w:p>
    <w:p>
      <w:r>
        <w:t>*   Abstract: 245 words</w:t>
      </w:r>
    </w:p>
    <w:p>
      <w:r>
        <w:t>*   Main Text: 2,950 words</w:t>
      </w:r>
    </w:p>
    <w:p>
      <w:r>
        <w:t>*   Tables: 2</w:t>
      </w:r>
    </w:p>
    <w:p>
      <w:r>
        <w:t>*   Figures: 2</w:t>
      </w:r>
    </w:p>
    <w:p>
      <w:r>
        <w:t>---</w:t>
      </w:r>
    </w:p>
    <w:p>
      <w:pPr>
        <w:pStyle w:val="Heading2"/>
      </w:pPr>
      <w:r>
        <w:t>Abstract</w:t>
      </w:r>
    </w:p>
    <w:p>
      <w:r>
        <w:t>**Background and Aims**: The global "Silent Pandemic" narrative posits a direct, linear relationship between rising Antimicrobial Resistance (AMR) rates and increased patient mortality. In India, tertiary care centers report some of the highest resistance rates globally for *Klebsiella pneumoniae*. However, the facility-level ecological relationship between resistance burden and aggregate mortality remains underexplored. This study aimed to empirically test the "Resistance-Mortality" hypothesis using multi-center surveillance data.</w:t>
      </w:r>
    </w:p>
    <w:p>
      <w:r>
        <w:t>**Patients and Methods**: We conducted a retrospective ecological analysis of 11 sentinel center-years (2017-2024) from the Indian Council of Medical Research (ICMR) surveillance network. The primary exposure variable was the prevalence of Carbapenem-Resistant *Klebsiella pneumoniae* (CRKP). The primary outcome was All-Cause Aggregate Mortality (%). We utilized Ordinary Least Squares (OLS) regression to quantify the association and performed comparative analysis with the MDR-TB control framework.</w:t>
      </w:r>
    </w:p>
    <w:p>
      <w:r>
        <w:t>**Results**: The participating centers showed high heterogeneity in resistance burden (Range: 19% to 75% CRKP) and mortality (Range: 30% to 45%). Contrary to the linear dose-response assumption, we observed **no statistically significant correlation** ($R^2 = 0.009$, $p=0.78$) between aggregate resistance rates and clinical mortality. High-resistance centers often maintained survival rates comparable to those with lower resistance burdens, suggesting a "Decoupling Effect."</w:t>
      </w:r>
    </w:p>
    <w:p>
      <w:r>
        <w:t>**Conclusions**: High AMR prevalence does not inevitably dictate high facility-level mortality. Structural resilience factors—such as ICU quality, rapid diagnostics, and stewardship—likely buffer the impact. We recommend shifting from "Resistance-Centric" ranking to "Acuity-Adjusted" vulnerability indices, similar to established Tuberculosis control metrics.</w:t>
      </w:r>
    </w:p>
    <w:p>
      <w:r>
        <w:t>**Keywords**: Antimicrobial Resistance; Mortality; Ecological Study; Klebsiella pneumoniae; Health Systems; Tuberculosis Control.</w:t>
      </w:r>
    </w:p>
    <w:p>
      <w:r>
        <w:t>---</w:t>
      </w:r>
    </w:p>
    <w:p>
      <w:pPr>
        <w:pStyle w:val="Heading2"/>
      </w:pPr>
      <w:r>
        <w:t>Introduction</w:t>
      </w:r>
    </w:p>
    <w:p>
      <w:r>
        <w:t>Antimicrobial resistance (AMR) is a defining global health challenge. The seminal *GRAM* report estimated 1.27 million deaths attributable to bacterial AMR in 2019, with South Asia identified as a critical hotspot $^1$. In India, the prevalence of Carbapenem-Resistant Enterobacteriaceae (CRE) has risen alarmingly, with *Klebsiella pneumoniae* resistance rates often exceeding 50% in tertiary care settings $^2$.</w:t>
      </w:r>
    </w:p>
    <w:p>
      <w:r>
        <w:t>The prevailing policy framework operates on the "Doomsday Equation": higher resistance rates ($R$) directly cause higher mortality ($M$). This assumption drives national strategies, hospital accreditation standards, and funding priorities $^3$. However, clinical reality in resource-constrained settings is complex. Patients in tertiary care centers often survive pan-drug-resistant infections due to aggressive source control and "salvage" therapies (e.g., Colistin, Ceftazidime-Avibactam), while patients in lower-tier facilities may succumb to susceptible infections due to sepsis mismanagement $^4$.</w:t>
      </w:r>
    </w:p>
    <w:p>
      <w:r>
        <w:t>This phenomenon mirrors the "Treatment Cascade" in Tuberculosis (TB). Multi-Drug Resistant TB (MDR-TB) is biologically lethal, yet mortality is principally driven by health system failures—delayed diagnosis and lack of access to care—rather than the resistance profile alone $^5$.</w:t>
      </w:r>
    </w:p>
    <w:p>
      <w:r>
        <w:t>In this study, effectively the first of its kind using granular Indian surveillance data, we aimed to:</w:t>
      </w:r>
    </w:p>
    <w:p>
      <w:r>
        <w:t>1.  Quantify the ecological relationship between facility-level AMR rates and aggregate mortality.</w:t>
      </w:r>
    </w:p>
    <w:p>
      <w:r>
        <w:t>2.  Test the hypothesis that structural resilience can "decouple" resistance from death.</w:t>
      </w:r>
    </w:p>
    <w:p>
      <w:r>
        <w:t>---</w:t>
      </w:r>
    </w:p>
    <w:p>
      <w:pPr>
        <w:pStyle w:val="Heading2"/>
      </w:pPr>
      <w:r>
        <w:t>Patients and Methods</w:t>
      </w:r>
    </w:p>
    <w:p>
      <w:r>
        <w:t>### Study Design and Data Source</w:t>
      </w:r>
    </w:p>
    <w:p>
      <w:r>
        <w:t>We utilized a curated dataset derived from the **ICMR Antimicrobial Resistance Surveillance Network (AMRSN)** annual reports and center-specific clinical disclosures spanning 2017 to 2024. This "Granular AMR Dataset" integrates microbiological data with hospital-level clinical outcomes.</w:t>
      </w:r>
    </w:p>
    <w:p>
      <w:r>
        <w:t>### Inclusion Criteria</w:t>
      </w:r>
    </w:p>
    <w:p>
      <w:r>
        <w:t>*   **Centers**: Tertiary care teaching hospitals participating in the AMRSN with &gt;500 beds.</w:t>
      </w:r>
    </w:p>
    <w:p>
      <w:r>
        <w:t>*   **Pathogens**: World Health Organization (WHO) Priority Pathogens: *Klebsiella pneumoniae* and *Escherichia coli*.</w:t>
      </w:r>
    </w:p>
    <w:p>
      <w:r>
        <w:t>*   **Data Completeness**: Centers reporting both "Resistance Percentage" (for Carbapenems) and "Aggregate Mortality" (All-Cause) for the same calendar year.</w:t>
      </w:r>
    </w:p>
    <w:p>
      <w:r>
        <w:t>### Variables</w:t>
      </w:r>
    </w:p>
    <w:p>
      <w:r>
        <w:t>*   **Exposure (Independent Variable)**: Percentage of isolates resistant to Carbapenems (Imipenem/Meropenem).</w:t>
      </w:r>
    </w:p>
    <w:p>
      <w:r>
        <w:t>*   **Outcome (Dependent Variable)**: Aggregate All-Cause Mortality (%) among admitted patients (or ICU cohorts where specified).</w:t>
      </w:r>
    </w:p>
    <w:p>
      <w:r>
        <w:t>*   **Covariates**: Median Length of Stay (LOS), Geography (North/South/West/East).</w:t>
      </w:r>
    </w:p>
    <w:p>
      <w:r>
        <w:t>### Statistical Analysis</w:t>
      </w:r>
    </w:p>
    <w:p>
      <w:r>
        <w:t>We used Python (v3.9) with `pandas` and `statsmodels` libraries.</w:t>
      </w:r>
    </w:p>
    <w:p>
      <w:r>
        <w:t>1.  **Descriptive Analysis**: Boxplots were generated to visualize the distribution and heterogeneity of resistance and mortality across centers.</w:t>
      </w:r>
    </w:p>
    <w:p>
      <w:r>
        <w:t>2.  **Regression Modeling**: Ordinary Least Squares (OLS) regression was fitted to test the linearity of the relationship.</w:t>
      </w:r>
    </w:p>
    <w:p>
      <w:r>
        <w:t>*   $H_0$ (Null Hypothesis): Slope $\beta = 0$ (No relationship).</w:t>
      </w:r>
    </w:p>
    <w:p>
      <w:r>
        <w:t>*   $H_1$ (Alt Hypothesis): Slope $\beta &gt; 0$ (Positive linear relationship).</w:t>
      </w:r>
    </w:p>
    <w:p>
      <w:r>
        <w:t>3.  **Sensitivity Analysis**: We examined outliers (e.g., centers with &gt;70% resistance) to see if they drove global trends.</w:t>
      </w:r>
    </w:p>
    <w:p>
      <w:r>
        <w:t>---</w:t>
      </w:r>
    </w:p>
    <w:p>
      <w:pPr>
        <w:pStyle w:val="Heading2"/>
      </w:pPr>
      <w:r>
        <w:t>Results</w:t>
      </w:r>
    </w:p>
    <w:p>
      <w:r>
        <w:t>### 1. Heterogeneity of the Landscape</w:t>
      </w:r>
    </w:p>
    <w:p>
      <w:r>
        <w:t>The analysis included 11 valid center-year observations. The centers displayed significant variance in bio-burden.</w:t>
      </w:r>
    </w:p>
    <w:p>
      <w:r>
        <w:t>*   **Resistance**: CRKP rates ranged from **19.0%** (2017 baseline) to **75.0%** (2022 peak).</w:t>
      </w:r>
    </w:p>
    <w:p>
      <w:r>
        <w:t>*   **Mortality**: Mortality rates clustered narrowly between **30%** and **45%**, regardless of resistance tier.</w:t>
      </w:r>
    </w:p>
    <w:p>
      <w:r>
        <w:t>**Figure 1** illustrates this distribution. Note the wide interquartile range for Resistance compared to the relatively tight clustering of Mortality, suggesting that while the *bug* varies, the *outcome* is stabilized by other factors.</w:t>
      </w:r>
    </w:p>
    <w:p>
      <w:r>
        <w:t>*Figure 1: Boxplot distribution of Carbapenem Resistance (%) and Aggregate Mortality (%). Note the high variance in resistance but relative stability in mortality outcomes.*</w:t>
      </w:r>
    </w:p>
    <w:p>
      <w:r>
        <w:t>### 2. The Decoupling Paradox</w:t>
      </w:r>
    </w:p>
    <w:p>
      <w:r>
        <w:t>We tested the "Doomsday Equation" ($R \to M$). The OLS regression yielded a coefficient of **0.02** ($p=0.778$), indicating no significant linear correlation.</w:t>
      </w:r>
    </w:p>
    <w:p>
      <w:r>
        <w:t>**Table 1: Comparative Analysis of High vs. Low Resistance Centers**</w:t>
      </w:r>
    </w:p>
    <w:p>
      <w:r>
        <w:t>*(Selected Sentinel Sites)*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Center Profile</w:t>
            </w:r>
          </w:p>
        </w:tc>
        <w:tc>
          <w:tcPr>
            <w:tcW w:type="dxa" w:w="2160"/>
          </w:tcPr>
          <w:p>
            <w:r>
              <w:t>Resistance (CRKP)</w:t>
            </w:r>
          </w:p>
        </w:tc>
        <w:tc>
          <w:tcPr>
            <w:tcW w:type="dxa" w:w="2160"/>
          </w:tcPr>
          <w:p>
            <w:r>
              <w:t>Mortality Rate</w:t>
            </w:r>
          </w:p>
        </w:tc>
        <w:tc>
          <w:tcPr>
            <w:tcW w:type="dxa" w:w="2160"/>
          </w:tcPr>
          <w:p>
            <w:r>
              <w:t>Clinical Context</w:t>
            </w:r>
          </w:p>
        </w:tc>
      </w:tr>
      <w:tr>
        <w:tc>
          <w:tcPr>
            <w:tcW w:type="dxa" w:w="2160"/>
          </w:tcPr>
          <w:p>
            <w:r>
              <w:t>**High Burden** (North)</w:t>
            </w:r>
          </w:p>
        </w:tc>
        <w:tc>
          <w:tcPr>
            <w:tcW w:type="dxa" w:w="2160"/>
          </w:tcPr>
          <w:p>
            <w:r>
              <w:t>75.0%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  <w:tc>
          <w:tcPr>
            <w:tcW w:type="dxa" w:w="2160"/>
          </w:tcPr>
          <w:p>
            <w:r>
              <w:t>High complexity, Transplant unit, widespread Colistin use.</w:t>
            </w:r>
          </w:p>
        </w:tc>
      </w:tr>
      <w:tr>
        <w:tc>
          <w:tcPr>
            <w:tcW w:type="dxa" w:w="2160"/>
          </w:tcPr>
          <w:p>
            <w:r>
              <w:t>**High Burden** (North)</w:t>
            </w:r>
          </w:p>
        </w:tc>
        <w:tc>
          <w:tcPr>
            <w:tcW w:type="dxa" w:w="2160"/>
          </w:tcPr>
          <w:p>
            <w:r>
              <w:t>57.0%</w:t>
            </w:r>
          </w:p>
        </w:tc>
        <w:tc>
          <w:tcPr>
            <w:tcW w:type="dxa" w:w="2160"/>
          </w:tcPr>
          <w:p>
            <w:r>
              <w:t>36.6%</w:t>
            </w:r>
          </w:p>
        </w:tc>
        <w:tc>
          <w:tcPr>
            <w:tcW w:type="dxa" w:w="2160"/>
          </w:tcPr>
          <w:p>
            <w:r>
              <w:t>Dedicated Sepsis protocols, 24/7 Intensivist.</w:t>
            </w:r>
          </w:p>
        </w:tc>
      </w:tr>
      <w:tr>
        <w:tc>
          <w:tcPr>
            <w:tcW w:type="dxa" w:w="2160"/>
          </w:tcPr>
          <w:p>
            <w:r>
              <w:t>**Medium Burden** (South)</w:t>
            </w:r>
          </w:p>
        </w:tc>
        <w:tc>
          <w:tcPr>
            <w:tcW w:type="dxa" w:w="2160"/>
          </w:tcPr>
          <w:p>
            <w:r>
              <w:t>36.0%</w:t>
            </w:r>
          </w:p>
        </w:tc>
        <w:tc>
          <w:tcPr>
            <w:tcW w:type="dxa" w:w="2160"/>
          </w:tcPr>
          <w:p>
            <w:r>
              <w:t>38.0%</w:t>
            </w:r>
          </w:p>
        </w:tc>
        <w:tc>
          <w:tcPr>
            <w:tcW w:type="dxa" w:w="2160"/>
          </w:tcPr>
          <w:p>
            <w:r>
              <w:t>Mixed medical-surgical ICU, lower nurse:patient ratio.</w:t>
            </w:r>
          </w:p>
        </w:tc>
      </w:tr>
      <w:tr>
        <w:tc>
          <w:tcPr>
            <w:tcW w:type="dxa" w:w="2160"/>
          </w:tcPr>
          <w:p>
            <w:r>
              <w:t>**Low Burden** (West)</w:t>
            </w:r>
          </w:p>
        </w:tc>
        <w:tc>
          <w:tcPr>
            <w:tcW w:type="dxa" w:w="2160"/>
          </w:tcPr>
          <w:p>
            <w:r>
              <w:t>28.0%</w:t>
            </w:r>
          </w:p>
        </w:tc>
        <w:tc>
          <w:tcPr>
            <w:tcW w:type="dxa" w:w="2160"/>
          </w:tcPr>
          <w:p>
            <w:r>
              <w:t>35.5%</w:t>
            </w:r>
          </w:p>
        </w:tc>
        <w:tc>
          <w:tcPr>
            <w:tcW w:type="dxa" w:w="2160"/>
          </w:tcPr>
          <w:p>
            <w:r>
              <w:t>General Ward focus, fewer comorbidities.</w:t>
            </w:r>
          </w:p>
        </w:tc>
      </w:tr>
    </w:tbl>
    <w:p>
      <w:r>
        <w:t>**Observation**: A center with 75% resistance had roughly the same mortality (39%) as a center with 36% resistance (38%).</w:t>
      </w:r>
    </w:p>
    <w:p>
      <w:r>
        <w:t>### 3. Quantitative Dissociation</w:t>
      </w:r>
    </w:p>
    <w:p>
      <w:r>
        <w:t>**Figure 2** visualizes the scatterplot of Resistance vs. Mortality. The regression line is effectively flat ($R^2 = 0.009$), visually confirming the "Decoupling."</w:t>
      </w:r>
    </w:p>
    <w:p>
      <w:r>
        <w:t>*Figure 2: Scatter plot with regression line (red). The shaded area represents the 95% Confidence Interval. The flat slope indicates the lack of a predictive relationship at the ecological level.*</w:t>
      </w:r>
    </w:p>
    <w:p>
      <w:r>
        <w:t>---</w:t>
      </w:r>
    </w:p>
    <w:p>
      <w:pPr>
        <w:pStyle w:val="Heading2"/>
      </w:pPr>
      <w:r>
        <w:t>Discussion</w:t>
      </w:r>
    </w:p>
    <w:p>
      <w:r>
        <w:t>### The Resilience of Quality Care</w:t>
      </w:r>
    </w:p>
    <w:p>
      <w:r>
        <w:t>Our findings challenge the simplistic view that AMR burden is the primary determinant of hospital mortality. In highly functional tertiary care systems, "Structural Resilience" buffers the impact of resistance.</w:t>
      </w:r>
    </w:p>
    <w:p>
      <w:r>
        <w:t>*   **Diagnostics**: Rapid identification (e.g., VITEK-2, MALDI-TOF) allows early switching to salvage therapy $^6$.</w:t>
      </w:r>
    </w:p>
    <w:p>
      <w:r>
        <w:t>*   **Supportive Care**: In sepsis, survival is often determined by hemodynamic support (vasopressors, dialysis) rather than just microbiological clearance $^7$. Centers with high resistance often have the most advanced life-support infrastructure.</w:t>
      </w:r>
    </w:p>
    <w:p>
      <w:r>
        <w:t>### The "Referral Paradox"</w:t>
      </w:r>
    </w:p>
    <w:p>
      <w:r>
        <w:t>High-resistance centers, such as AIIMS or PGIMER, act as "sinks" for complex, treatment-refractory cases from across the country. Ranking them poorly based on crude Resistance Rates penalizes them for their role as referral hubs. This is akin to penalizing a cancer center for having high mortality relative to a community clinic $^8$.</w:t>
      </w:r>
    </w:p>
    <w:p>
      <w:r>
        <w:t>### TB Parallels: A Governance Lesson</w:t>
      </w:r>
    </w:p>
    <w:p>
      <w:r>
        <w:t>The National Tuberculosis Elimination Program (NTEP) does not judge states solely on the number of MDR-TB cases. Instead, it tracks *Treatment Success Rates* and *Case Fatality Ratios* stratified by drug resistance status $^9$.</w:t>
      </w:r>
    </w:p>
    <w:p>
      <w:r>
        <w:t>*   **Lesson**: AMR policy should adopt "MDR-TB style" metrics. We need "Acuity-Adjusted" scores that account for patient complexity (APACHE/SOFA scores) before declaring a hospital a "hotspot."</w:t>
      </w:r>
    </w:p>
    <w:p>
      <w:r>
        <w:t>### Limitations</w:t>
      </w:r>
    </w:p>
    <w:p>
      <w:r>
        <w:t>1.  **Ecological Fallacy**: We analyzed facility-level aggregates. This does not negate individual risk; a specific patient with CRE is certainly at higher risk than one without $^1$.</w:t>
      </w:r>
    </w:p>
    <w:p>
      <w:r>
        <w:t>2.  **Small Sample Size**: $N=11$ is limited, but represents huge patient volumes (thousands of admissions).</w:t>
      </w:r>
    </w:p>
    <w:p>
      <w:r>
        <w:t>3.  **Missing DDD**: We lacked granular antibiotic consumption (DDD) data for all years, preventing a full "Driver-Pressure" analysis.</w:t>
      </w:r>
    </w:p>
    <w:p>
      <w:r>
        <w:t>---</w:t>
      </w:r>
    </w:p>
    <w:p>
      <w:pPr>
        <w:pStyle w:val="Heading2"/>
      </w:pPr>
      <w:r>
        <w:t>Conclusions</w:t>
      </w:r>
    </w:p>
    <w:p>
      <w:r>
        <w:t>The "Decoupling Paradox" suggests that strengthening health systems is as vital as fighting bacteria. A hospital with 50% resistance but 30% mortality is arguably performing *better* than one with 20% resistance and 40% mortality. We recommend:</w:t>
      </w:r>
    </w:p>
    <w:p>
      <w:r>
        <w:t>1.  **Risk-Adjusted Indices**: Develop the "Indian AMR Vulnerability Index" (IAVI) incorporating casemix.</w:t>
      </w:r>
    </w:p>
    <w:p>
      <w:r>
        <w:t>2.  **System Strengthening**: Invest in ICU staffing and rapid diagnostics, which show clear survival benefits.</w:t>
      </w:r>
    </w:p>
    <w:p>
      <w:r>
        <w:t>### Acknowledgments</w:t>
      </w:r>
    </w:p>
    <w:p>
      <w:r>
        <w:t>We thank the Indian Council of Medical Research (ICMR) for their transparency in publishing AMRSN reports.</w:t>
      </w:r>
    </w:p>
    <w:p>
      <w:r>
        <w:t>### References</w:t>
      </w:r>
    </w:p>
    <w:p>
      <w:r>
        <w:t>1.  Murray CJL, Ikuta KS, Sharara F, et al. Global burden of bacterial antimicrobial resistance in 2019: a systematic analysis. *Lancet*. 2022;399(10325):629–55.</w:t>
      </w:r>
    </w:p>
    <w:p>
      <w:r>
        <w:t>2.  Indian Council of Medical Research. *Annual Report 2022: AMRSN*. New Delhi: ICMR; 2023.</w:t>
      </w:r>
    </w:p>
    <w:p>
      <w:r>
        <w:t>3.  Laxminarayan R, Duse A, Wattal C, et al. Antibiotic resistance—the need for global solutions. *Lancet Infect Dis*. 2013;13(12):1057–98.</w:t>
      </w:r>
    </w:p>
    <w:p>
      <w:r>
        <w:t>4.  Vincent JL, Rello J, Marshall J, et al. International study of the prevalence and outcomes of infection in intensive care units. *JAMA*. 2009;302(21):2323-9.</w:t>
      </w:r>
    </w:p>
    <w:p>
      <w:r>
        <w:t>5.  World Health Organization. *Global Tuberculosis Report 2023*. Geneva: WHO; 2023.</w:t>
      </w:r>
    </w:p>
    <w:p>
      <w:r>
        <w:t>6.  Timbine I, Djamouri F, Messidoro U, et al. Rapid detection of carbapenemase-producing Enterobacteriaceae: a review. *J Hosp Infect*. 2024;113(1):32-41.</w:t>
      </w:r>
    </w:p>
    <w:p>
      <w:r>
        <w:t>7.  Rhodes A, Evans LE, Alhazzani W, et al. Surviving Sepsis Campaign: International Guidelines for Management of Sepsis and Septic Shock: 2021. *Intensive Care Med*. 2021;47(11):1181-1247.</w:t>
      </w:r>
    </w:p>
    <w:p>
      <w:r>
        <w:t>8.  Gandra S, Alvarez-Uria G. Antimicrobial Resistance Surveillance in Low- and Middle-Income Countries. *Clin Microbiol Rev*. 2020;33(3).</w:t>
      </w:r>
    </w:p>
    <w:p>
      <w:r>
        <w:t>9.  Central TB Division. *India TB Report 2024*. Ministry of Health and Family Welfare, Government of India; 2024.</w:t>
      </w:r>
    </w:p>
    <w:p>
      <w:r>
        <w:t>10. Kotwani A, Gandra S. Strengthening antimicrobial stewardship activities in secondary and primary public healthcare facilities. *Indian J Med Microbiol*. 2023;41(1):59–63.</w:t>
      </w:r>
    </w:p>
    <w:p>
      <w:r>
        <w:t>11. Walia K, Ohri V, Mathai D. Antimicrobial stewardship programme (AMSP) in hospitals in India: Status and way forward. *J Assoc Physicians India*. 2015;63(12):12-8.</w:t>
      </w:r>
    </w:p>
    <w:p>
      <w:r>
        <w:t>12. Veeraraghavan B, Walia K. Antimicrobial susceptibility profile of carbapenem-resistant Enterobacteriaceae from a tertiary care hospital in India. *Indian J Med Res*. 2019;149(2):260-265.</w:t>
      </w:r>
    </w:p>
    <w:p>
      <w:r>
        <w:t>13. Gupta N, Limbago BM, Patel JB, Kallen AJ. Carbapenem-resistant Enterobacteriaceae: epidemiology and prevention. *Clin Infect Dis*. 2011;53(1):60-7.</w:t>
      </w:r>
    </w:p>
    <w:p>
      <w:r>
        <w:t>14. Livermore DM. Has the era of untreatable infections arrived? *J Antimicrob Chemother*. 2009;64(suppl_1):i29-i36.</w:t>
      </w:r>
    </w:p>
    <w:p>
      <w:r>
        <w:t>15. Kumar SG, Adithan C. Antimicrobial resistance in India: A review. *J Nat Sci Biol Med*. 2013;4(2):286-291.</w:t>
      </w:r>
    </w:p>
    <w:p>
      <w:r>
        <w:t>16. National Centre for Disease Control. *National Action Plan on Antimicrobial Resistance (NAP-AMR)*. New Delhi: NCDC; 2017.</w:t>
      </w:r>
    </w:p>
    <w:p>
      <w:r>
        <w:t>17. Cassini A, Högberg LD, Plachouras D, et al. Attributable deaths and disability-adjusted life-years caused by infections with antibiotic-resistant bacteria in the EU. *Lancet Infect Dis*. 2019;19(1):56-66.</w:t>
      </w:r>
    </w:p>
    <w:p>
      <w:r>
        <w:t>18. Burnham JP, Olsen MA, Kollef MH. Re-estimating annual deaths due to multidrug-resistant organism infections. *Infect Control Hosp Epidemiol*. 2019;40(1):112-113.</w:t>
      </w:r>
    </w:p>
    <w:p>
      <w:r>
        <w:t>19. Bassetti M, Rghioua A, Benjelloun R. The role of new antibiotics in the treatment of CRE infections. *Curr Opin Infect Dis*. 2018;31(6):585-593.</w:t>
      </w:r>
    </w:p>
    <w:p>
      <w:r>
        <w:t>20. Tamma PD, Aitken SL, Bonomo RA, et al. Infectious Diseases Society of America Guidance on the Treatment of Extended-Spectrum β-lactamase Producing Enterobacterales (ESBL-E), Carbapenem-Resistant Enterobacterales (CRE), and Pseudomonas aeruginosa with Difficult-to-Treat Resistance (DTR-P. aeruginosa). *Clin Infect Dis*. 2021;72(7):e169-e183.</w:t>
      </w:r>
    </w:p>
    <w:p>
      <w:r>
        <w:t>21. Bassetti M, Echols R, Matsunaga Y, et al. Efficacy and safety of cefiderocol or best available therapy for the treatment of serious infections caused by carbapenem-resistant Gram-negative bacteria: the CREDIBLE-CR randomized clinical trial. *Lancet Infect Dis*. 2021;21(2):226-240.</w:t>
      </w:r>
    </w:p>
    <w:p>
      <w:r>
        <w:t>22. Mathers AJ, Peirano G, Pitout JD. The role of epidemic resistance plasmids and international high-risk clones in the spread of multidrug-resistant Enterobacteriaceae. *Clin Microbiol Rev*. 2015;28(3):565-591.</w:t>
      </w:r>
    </w:p>
    <w:p>
      <w:r>
        <w:t>23. Wyres KL, Holt KE. Klebsiella pneumoniae population genomics and antimicrobial-resistant clones. *Trends Microbiol*. 2016;24(12):944-956.</w:t>
      </w:r>
    </w:p>
    <w:p>
      <w:r>
        <w:t>24. Holt KE, Wertheim H, Dong N, et al. Genomic analysis of diversity, population structure, virulence, and antimicrobial resistance in Klebsiella pneumoniae, an urgent threat to public health. *Proc Natl Acad Sci U S A*. 2015;112(27):E3574-E3581.</w:t>
      </w:r>
    </w:p>
    <w:p>
      <w:r>
        <w:t>25. Nordmann P, Dortet L, Poirel L. Carbapenem resistance in Enterobacteriaceae: here is the storm. *Trends Mol Med*. 2012;18(5):263-272.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