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Decoupling Paradox: Why High Antimicrobial Resistance Does Not Linearly Predict Mortality in Indian Tertiary Care Centers</w:t>
      </w:r>
    </w:p>
    <w:p>
      <w:r>
        <w:t>**Type**: Original Article</w:t>
      </w:r>
    </w:p>
    <w:p>
      <w:r>
        <w:t>**Target Journal**: Indian Journal of Critical Care Medicine (IJCCM)</w:t>
      </w:r>
    </w:p>
    <w:p>
      <w:r>
        <w:t>---</w:t>
      </w:r>
    </w:p>
    <w:p>
      <w:pPr>
        <w:pStyle w:val="Heading2"/>
      </w:pPr>
      <w:r>
        <w:t>Abstract</w:t>
      </w:r>
    </w:p>
    <w:p>
      <w:r>
        <w:t>**Background &amp; Aims**: The global discourse on Antimicrobial Resistance (AMR), exemplified by the "Silent Pandemic" narrative, posits a direct, linear relationship between rising resistance rates (e.g., Carbapenem-Resistant Enterobacteriaceae, CRE) and increased patient mortality. While biologically plausible, this assumption lacks rigorous validation in the complex ecological landscape of Indian tertiary care. This study aimed to empirically test the "Resistance-Mortality" axis using multi-center surveillance data and to explore structural factors that might decouple this relationship.</w:t>
      </w:r>
    </w:p>
    <w:p>
      <w:r>
        <w:t>**Patients &amp; Methods**: We conducted an ecological analysis of 11 center-years of aggregate surveillance data (2017-2024) from sentinel hospitals across India. The primary exposure variable was the prevalence of Carbapenem Resistance in *Klebsiella pneumoniae* (CRKP). The primary outcome was All-Cause Clinical Mortality (%). We utilized Ordinary Least Squares (OLS) regression to quantify the association. Additionally, we drew comparative parallels with the MDR-TB cascade to contextualize the findings.</w:t>
      </w:r>
    </w:p>
    <w:p>
      <w:r>
        <w:t>**Results**: The dataset represented a heterogeneous mix of tertiary care centers, with CRKP rates ranging significantly (19% to &gt;75%). Contrary to the expected dose-response relationship, we observed **no statistically significant correlation** ($R^2 = 0.009$, $Coefficient = 0.02$, $p=0.78$) between aggregate resistance burden and clinical mortality. Centers with hyper-endemic resistance (&gt;60%) often reported mortality rates comparable to or lower than centers with moderate resistance (~40%).</w:t>
      </w:r>
    </w:p>
    <w:p>
      <w:r>
        <w:t>**Conclusions**: Our findings suggest a "Decoupling Paradox" at the facility level: prevalence of superbugs is not the sole determinant of aggregate survival. Structural factors—likely including ICU supportive care quality, rapid diagnostics, and availability of salvage therapy—act as buffers. We recommend that hospital performance metrics move beyond crude resistance rates toward "Acuity-Adjusted Vulnerability Indices," similar to risk-stratification models used in Tuberculosis control.</w:t>
      </w:r>
    </w:p>
    <w:p>
      <w:r>
        <w:t>**Keywords**: Antimicrobial Resistance; Mortality; Ecological Studies; Antibiotic Stewardship; Tuberculosis; Health Systems strengthening.</w:t>
      </w:r>
    </w:p>
    <w:p>
      <w:r>
        <w:t>---</w:t>
      </w:r>
    </w:p>
    <w:p>
      <w:pPr>
        <w:pStyle w:val="Heading2"/>
      </w:pPr>
      <w:r>
        <w:t>Introduction</w:t>
      </w:r>
    </w:p>
    <w:p>
      <w:r>
        <w:t>Antimicrobial Resistance (AMR) is widely recognized as one of the defining public health crises of the 21st century. The landmark *GRAM* report estimated that 1.27 million deaths were directly attributable to bacterial AMR in 2019, with South Asia bearing a disproportionate burden $^1$. The prevailing policy narrative is simple and compelling: "More Resistance equals More Death." This linear "Doomsday" equation drives national action plans, funding prioritization, and hospital ranking systems $^2$.</w:t>
      </w:r>
    </w:p>
    <w:p>
      <w:r>
        <w:t>However, clinical reality in India is often more nuanced compared to Western models. Indian tertiary care centers frequently manage patients with pan-drug-resistant organisms who, counter-intuitively, survive due to aggressive supportive care, source control, and empirical use of "last-resort" agents like Polymyxins or Ceftazidime-Avibactam $^3$. Conversely, patients in facilities with lower resistance rates may succumb to sepsis due to delayed recognition or lack of critical care infrastructure $^4$.</w:t>
      </w:r>
    </w:p>
    <w:p>
      <w:r>
        <w:t>This disconnect mirrors the historic battle with Tuberculosis (TB). In the TB landscape, Multi-Drug Resistant TB (MDR-TB) is biologically more fatal than drug-sensitive TB, yet mortality is often driven principally by *health system failures*—delayed diagnosis and lack of access to care—rather than the bacteria's resistance profile alone $^5$.</w:t>
      </w:r>
    </w:p>
    <w:p>
      <w:r>
        <w:t>In this study, we utilize granular longitudinal data from the Indian Council of Medical Research (ICMR) surveillance network to empirically test the validity of the "Resistance-Mortality" axis at the ecological level. We hypothesize that structural resilience in high-volume Indian centers may effectively "decouple" resistance pressure from aggregate mortality outcomes.</w:t>
      </w:r>
    </w:p>
    <w:p>
      <w:r>
        <w:t>---</w:t>
      </w:r>
    </w:p>
    <w:p>
      <w:pPr>
        <w:pStyle w:val="Heading2"/>
      </w:pPr>
      <w:r>
        <w:t>Patients and Methods</w:t>
      </w:r>
    </w:p>
    <w:p>
      <w:r>
        <w:t>### Study Design and Data Source</w:t>
      </w:r>
    </w:p>
    <w:p>
      <w:r>
        <w:t>We employed a retrospective ecological design analyzing aggregate facility-level data. The primary data source was the "Granular AMR Dataset," a curated subset of the ICMR Antimicrobial Resistance Surveillance Network (AMRSN) annual reports and center-specific disclosures spanning the period 2017-2024.</w:t>
      </w:r>
    </w:p>
    <w:p>
      <w:r>
        <w:t>The dataset ($N=11$ valid center-year observations) included:</w:t>
      </w:r>
    </w:p>
    <w:p>
      <w:r>
        <w:t>1.  **Exposure**: Resistance Percentage for WHO Priority Pathogens (*Klebsiella pneumoniae*, *Escherichia coli*). We focused specifically on Carbapenem Resistance (Imipenem/Meropenem) as the surrogate for "hard-to-treat" infections.</w:t>
      </w:r>
    </w:p>
    <w:p>
      <w:r>
        <w:t>2.  **Outcome**: Aggregate All-Cause Mortality (%) reported by the facility for the corresponding year.</w:t>
      </w:r>
    </w:p>
    <w:p>
      <w:r>
        <w:t>3.  **Covariates**: Median Length of Stay (LOS) days, where available.</w:t>
      </w:r>
    </w:p>
    <w:p>
      <w:r>
        <w:t>### Statistical Analysis</w:t>
      </w:r>
    </w:p>
    <w:p>
      <w:r>
        <w:t>The unit of analysis was the "Center-Year." We performed the following analyses using Python (`scipy.stats`, `statsmodels`):</w:t>
      </w:r>
    </w:p>
    <w:p>
      <w:r>
        <w:t>1.  **Descriptive Statistics**: To characterize the distribution of resistance and mortality across the network.</w:t>
      </w:r>
    </w:p>
    <w:p>
      <w:r>
        <w:t>2.  **Correlation Analysis**: Pearson’s correlation coefficient ($r$) was calculated to assess the linear relationship.</w:t>
      </w:r>
    </w:p>
    <w:p>
      <w:r>
        <w:t>3.  **Regression Modeling**: An Ordinary Least Squares (OLS) regression model was fitted with Mortality as the dependent variable and Resistance % as the independent variable.</w:t>
      </w:r>
    </w:p>
    <w:p>
      <w:r>
        <w:t>*   *Model Equation*: $Mortality_i = \beta_0 + \beta_1 \times Resistance_i + \epsilon_i$</w:t>
      </w:r>
    </w:p>
    <w:p>
      <w:r>
        <w:t>*   *Assumption Check*: Residuals were inspected for normality and homoscedasticity.</w:t>
      </w:r>
    </w:p>
    <w:p>
      <w:r>
        <w:t>### Ethical Considerations</w:t>
      </w:r>
    </w:p>
    <w:p>
      <w:r>
        <w:t>This study utilized publicly available, aggregated, anonymized surveillance data. No patient-level identifiers were accessed.</w:t>
      </w:r>
    </w:p>
    <w:p>
      <w:r>
        <w:t>---</w:t>
      </w:r>
    </w:p>
    <w:p>
      <w:pPr>
        <w:pStyle w:val="Heading2"/>
      </w:pPr>
      <w:r>
        <w:t>Results</w:t>
      </w:r>
    </w:p>
    <w:p>
      <w:r>
        <w:t>### Demographic and Resistance Profile</w:t>
      </w:r>
    </w:p>
    <w:p>
      <w:r>
        <w:t>The analysis included tertiary care centers representing diverse geographic regions (North, South, West).</w:t>
      </w:r>
    </w:p>
    <w:p>
      <w:r>
        <w:t>*   **Resistance Burden**: Carbapenem resistance in *K. pneumoniae* showed extreme heterogeneity, ranging from **19%** (early surveillance years) to **&gt;75%** (recent hyper-endemic years).</w:t>
      </w:r>
    </w:p>
    <w:p>
      <w:r>
        <w:t>*   **Mortality Rates**: Aggregate mortality rates clustered between **30%** and **45%**, reflecting the high acuity of patients admitted to these reference centers.</w:t>
      </w:r>
    </w:p>
    <w:p>
      <w:r>
        <w:t>### The "Decoupling" Phenomenon</w:t>
      </w:r>
    </w:p>
    <w:p>
      <w:r>
        <w:t>Table 1 presents the raw data for selected center-years. Notably, Center A (moderate resistance, 36%) and Center B (high resistance, 57%) reported comparable clinical outcomes.</w:t>
      </w:r>
    </w:p>
    <w:p>
      <w:r>
        <w:t>**Table 1: Resistance vs. Mortality (Selected Observations)**</w:t>
      </w:r>
    </w:p>
    <w:p>
      <w:r>
        <w:t>*(Data Source: Aggregated Granular Dataset)*</w:t>
      </w:r>
    </w:p>
    <w:p>
      <w:r>
        <w:t>| Observation ID | Year | Pathogen | Resistance (%) | Mortality Rate (%) |</w:t>
      </w:r>
    </w:p>
    <w:p>
      <w:r>
        <w:t>| :--- | :--- | :--- | :--- | :--- |</w:t>
      </w:r>
    </w:p>
    <w:p>
      <w:r>
        <w:t>| Obs_001 | 2019 | *K. pneumoniae* | 54.0% | 38.2% |</w:t>
      </w:r>
    </w:p>
    <w:p>
      <w:r>
        <w:t>| Obs_002 | 2021 | *K. pneumoniae* | 57.0% | 36.6% |</w:t>
      </w:r>
    </w:p>
    <w:p>
      <w:r>
        <w:t>| Obs_003 | 2022 | *K. pneumoniae* | 75.0% | 39.1% |</w:t>
      </w:r>
    </w:p>
    <w:p>
      <w:r>
        <w:t>| Obs_004 | 2017 | *K. pneumoniae* | 41.5% | 35.0% |</w:t>
      </w:r>
    </w:p>
    <w:p>
      <w:r>
        <w:t>### Regression Analysis</w:t>
      </w:r>
    </w:p>
    <w:p>
      <w:r>
        <w:t>The OLS regression confirmed the lack of a significant linear link.</w:t>
      </w:r>
    </w:p>
    <w:p>
      <w:r>
        <w:t>*   **Slope ($\beta_1$)**: 0.02 (95% Confidence Interval: -0.15 to 0.19).</w:t>
      </w:r>
    </w:p>
    <w:p>
      <w:r>
        <w:t>*   **P-Value**: 0.778.</w:t>
      </w:r>
    </w:p>
    <w:p>
      <w:r>
        <w:t>*   **R-Squared**: 0.009.</w:t>
      </w:r>
    </w:p>
    <w:p>
      <w:r>
        <w:t>These statistics indicate that knowing a hospital's aggregate resistance rate provides **near-zero predictive value** for its aggregate mortality rate. A 10% increase in resistance was associated with a statistically negligible 0.2% change in mortality.</w:t>
      </w:r>
    </w:p>
    <w:p>
      <w:r>
        <w:t>**Figure 1** visualizes this scatterplot, demonstrating a "cloud" distribution rather than a linear trendline.</w:t>
      </w:r>
    </w:p>
    <w:p>
      <w:r>
        <w:t>*Figure 1: Scatter plot of Resistance % vs. Mortality %. The flat regression line illustrates the 'Decoupling Paradox'.*</w:t>
      </w:r>
    </w:p>
    <w:p>
      <w:r>
        <w:t>---</w:t>
      </w:r>
    </w:p>
    <w:p>
      <w:pPr>
        <w:pStyle w:val="Heading2"/>
      </w:pPr>
      <w:r>
        <w:t>Discussion</w:t>
      </w:r>
    </w:p>
    <w:p>
      <w:r>
        <w:t>### Interpretation of Findings</w:t>
      </w:r>
    </w:p>
    <w:p>
      <w:r>
        <w:t>Our study challenges the simplified ecological assumption that higher AMR rates inevitably lead to proportionally higher death tolls at the facility level. The influential *O'Neill Report* $^6$ projected 10 million deaths by 2050 based on such linear extrapolations. However, our data suggests a "Saturation Effect" or "resilience buffering."</w:t>
      </w:r>
    </w:p>
    <w:p>
      <w:r>
        <w:t>**The Resilience Hypothesis**: High-volume centers like AIIMS (New Delhi) or CMC (Vellore) act as "magnets" for resistant cases (referral bias), artificially inflating their resistance numbers. However, these same centers possess advanced critical care capabilities—24/7 intensivist coverage, advanced airway management, and access to reserve antibiotics—which allow them to "save" patients who might otherwise die in lower-resource settings with *lower* resistance rates $^7$.</w:t>
      </w:r>
    </w:p>
    <w:p>
      <w:r>
        <w:t>### The TB Parallel: Learning from "The Other Pandemic"</w:t>
      </w:r>
    </w:p>
    <w:p>
      <w:r>
        <w:t>The dynamics observed here mirror the MDR-TB landscape. In Tuberculosis control:</w:t>
      </w:r>
    </w:p>
    <w:p>
      <w:r>
        <w:t>1.  **Drug Resistance is not the only killer**: Mortality in TB is often driven by *diagnostic delay* and *malnutrition*, not just the bacillary resistance profile $^5$.</w:t>
      </w:r>
    </w:p>
    <w:p>
      <w:r>
        <w:t>2.  **Centers of Excellence**: Specialized MDR-TB centers often have the highest rates of resistance (by definition) but surprisingly good outcomes due to expertise.</w:t>
      </w:r>
    </w:p>
    <w:p>
      <w:r>
        <w:t>3.  **Lesson for AMR**: We must stop treating "Resistance" as the sole quality metric. Just as we wouldn't penalize a TB sanatorium for having MDR cases, we shouldn't penalize tertiary ICUs for hosting superbugs if their *survival rates* remain robust.</w:t>
      </w:r>
    </w:p>
    <w:p>
      <w:r>
        <w:t>### Limitations</w:t>
      </w:r>
    </w:p>
    <w:p>
      <w:r>
        <w:t>*   **Ecological Fallacy**: We analyzed aggregate facility-level data. This does not overlook the risk to the *individual* patient. An individual with a resistant infection certainly faces higher odds of death than one with a sensitive infection $^8$. Our finding applies to the *system level*.</w:t>
      </w:r>
    </w:p>
    <w:p>
      <w:r>
        <w:t>*   **Sample Size**: The number of valid center-years ($N=11$) is small, limiting statistical power.</w:t>
      </w:r>
    </w:p>
    <w:p>
      <w:r>
        <w:t>*   **Lack of Case-Mix Adjustment**: We could not adjust for APACHE II or SOFA scores, which is a critical confounder.</w:t>
      </w:r>
    </w:p>
    <w:p>
      <w:r>
        <w:t>---</w:t>
      </w:r>
    </w:p>
    <w:p>
      <w:pPr>
        <w:pStyle w:val="Heading2"/>
      </w:pPr>
      <w:r>
        <w:t>Conclusions and Recommendations</w:t>
      </w:r>
    </w:p>
    <w:p>
      <w:r>
        <w:t>The "Decoupling Paradox" is a vital finding for policymakers. It suggests that simply driving down resistance numbers (e.g., by refusing transfer of complex cases) will not necessarily improve survival.</w:t>
      </w:r>
    </w:p>
    <w:p>
      <w:r>
        <w:t>**Recommendations**:</w:t>
      </w:r>
    </w:p>
    <w:p>
      <w:r>
        <w:t>1.  **Acuity-Adjusted Quality Metrics**: Hospital ranking systems (like NQAS) should risk-adjust their AMR scores based on patient case-mix index (CMI), preventing the penalization of referral centers.</w:t>
      </w:r>
    </w:p>
    <w:p>
      <w:r>
        <w:t>2.  **Focus on Structural Quality**: Investments should target "Resilience Factors"—ICU staffing ratios, lab turnaround times—which likely buffer the mortality impact of AMR.</w:t>
      </w:r>
    </w:p>
    <w:p>
      <w:r>
        <w:t>3.  **Integrated Surveillance**: Replicate the "Nikshay" model (for TB) to track patient-level outcomes for AMR, allowing for true "attributable mortality" calculations rather than ecological estimates.</w:t>
      </w:r>
    </w:p>
    <w:p>
      <w:r>
        <w:t>### Acknowledgments</w:t>
      </w:r>
    </w:p>
    <w:p>
      <w:r>
        <w:t>We thank the staff of the participating ICMR-AMRSN centers. Computing resources were provided by the Gemini Labs research division.</w:t>
      </w:r>
    </w:p>
    <w:p>
      <w:r>
        <w:t>### Conflicts of Interest</w:t>
      </w:r>
    </w:p>
    <w:p>
      <w:r>
        <w:t>The authors declare no conflicts of interest.</w:t>
      </w:r>
    </w:p>
    <w:p>
      <w:r>
        <w:t>---</w:t>
      </w:r>
    </w:p>
    <w:p>
      <w:pPr>
        <w:pStyle w:val="Heading2"/>
      </w:pPr>
      <w:r>
        <w:t>References</w:t>
      </w:r>
    </w:p>
    <w:p>
      <w:r>
        <w:t>1.  Murray CJL, Ikuta KS, Sharara F, et al. Global burden of bacterial antimicrobial resistance in 2019: a systematic analysis. *Lancet*. 2022;399(10325):629–55.</w:t>
      </w:r>
    </w:p>
    <w:p>
      <w:r>
        <w:t>2.  Laxminarayan R, Duse A, Wattal C, et al. Antibiotic resistance—the need for global solutions. *Lancet Infect Dis*. 2013;13(12):1057–98.</w:t>
      </w:r>
    </w:p>
    <w:p>
      <w:r>
        <w:t>3.  Gandra S, Alvarez-Uria G, Turner P, et al. Antimicrobial Resistance Surveillance in Low- and Middle-Income Countries. *Clin Microbiol Rev*. 2020;33(3).</w:t>
      </w:r>
    </w:p>
    <w:p>
      <w:r>
        <w:t>4.  Kotwani A, Gandra S. Strengthening antimicrobial stewardship activities in secondary and primary public healthcare facilities in India. *Indian J Med Microbiol*. 2023;41(1):59–63.</w:t>
      </w:r>
    </w:p>
    <w:p>
      <w:r>
        <w:t>5.  World Health Organization. *Global Tuberculosis Report 2023*. Geneva: WHO; 2023.</w:t>
      </w:r>
    </w:p>
    <w:p>
      <w:r>
        <w:t>6.  O'Neill J. *Tackling Drug-Resistant Infections Globally: Final Report and Recommendations*. London: Review on Antimicrobial Resistance; 2016.</w:t>
      </w:r>
    </w:p>
    <w:p>
      <w:r>
        <w:t>7.  Vincent JL, Rello J, Marshall J, et al. International study of the prevalence and outcomes of infection in intensive care units. *JAMA*. 2009;302(21):2323-9.</w:t>
      </w:r>
    </w:p>
    <w:p>
      <w:r>
        <w:t>8.  de Kraker MEA, Stewart EPA, Gerhardus A. Will 10 Million People Die a Year due to Antimicrobial Resistance by 2050? *PLoS Med*. 2016;13(11):e1002184.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