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Decoupling Paradox: High Antimicrobial Resistance Does Not Linearly Predict Mortality in Indian Tertiary Care Centers</w:t>
      </w:r>
    </w:p>
    <w:p>
      <w:r>
        <w:t>**Type of Article**: Original Article</w:t>
      </w:r>
    </w:p>
    <w:p>
      <w:r>
        <w:t>**Target Journal**: Indian Journal of Critical Care Medicine (IJCCM)</w:t>
      </w:r>
    </w:p>
    <w:p>
      <w:r>
        <w:t>**Running Title**: Decoupling of AMR and Mortality in India</w:t>
      </w:r>
    </w:p>
    <w:p>
      <w:r>
        <w:t>**Authors**:</w:t>
      </w:r>
    </w:p>
    <w:p>
      <w:r>
        <w:t>1.  **Dr. Siddalingaiah H S**, Professor, Community Medicine, Shridevi Institute of Medical Sciences and Research Hospital, Tumkur, India.</w:t>
      </w:r>
    </w:p>
    <w:p>
      <w:r>
        <w:t>**Corresponding Author**:</w:t>
      </w:r>
    </w:p>
    <w:p>
      <w:r>
        <w:t>Dr. Siddalingaiah H S</w:t>
      </w:r>
    </w:p>
    <w:p>
      <w:r>
        <w:t>Professor, Community Medicine</w:t>
      </w:r>
    </w:p>
    <w:p>
      <w:r>
        <w:t>Shridevi Institute of Medical Sciences and Research Hospital, Tumkur</w:t>
      </w:r>
    </w:p>
    <w:p>
      <w:r>
        <w:t>Email: hssling@yahoo.com | Phone: 8941087719</w:t>
      </w:r>
    </w:p>
    <w:p>
      <w:r>
        <w:t>ORCID: [0000-0002-4771-8285](https://orcid.org/0000-0002-4771-8285)</w:t>
      </w:r>
    </w:p>
    <w:p>
      <w:r>
        <w:t>---</w:t>
      </w:r>
    </w:p>
    <w:p>
      <w:r>
        <w:br w:type="page"/>
      </w:r>
    </w:p>
    <w:p>
      <w:pPr>
        <w:pStyle w:val="Heading2"/>
      </w:pPr>
      <w:r>
        <w:t>Abstract</w:t>
      </w:r>
    </w:p>
    <w:p>
      <w:r>
        <w:t>**Background &amp; Aims**: The global discourse on Antimicrobial Resistance (AMR), exemplified by the "Silent Pandemic" narrative, posits a direct, linear relationship between rising resistance rates (e.g., Carbapenem-Resistant Enterobacteriaceae, CRE) and increased patient mortality. While biologically plausible, this assumption lacks rigorous validation in the complex ecological landscape of Indian tertiary care. This study aimed to empirically test the "Resistance-Mortality" axis using multi-center surveillance data and to explore structural factors that might decouple this relationship.</w:t>
      </w:r>
    </w:p>
    <w:p>
      <w:r>
        <w:t>**Patients &amp; Methods**: We conducted an ecological analysis of 11 center-years of aggregate surveillance data (2017-2024) from sentinel hospitals across India. The primary exposure variable was the prevalence of Carbapenem Resistance in *Klebsiella pneumoniae* (CRKP). The primary outcome was All-Cause Clinical Mortality (%). We utilized Ordinary Least Squares (OLS) regression to quantify the association. Additionally, we drew comparative parallels with the MDR-TB cascade to contextualize the findings.</w:t>
      </w:r>
    </w:p>
    <w:p>
      <w:r>
        <w:t>**Results**: The dataset represented a heterogeneous mix of tertiary care centers, with CRKP rates ranging significantly (19% to &gt;75%). Contrary to the expected dose-response relationship, we observed **no statistically significant correlation** ($R^2 = 0.009$, $Coefficient = 0.02$, $p=0.78$) between aggregate resistance burden and clinical mortality. Centers with hyper-endemic resistance (&gt;60%) often reported mortality rates comparable to or lower than centers with moderate resistance (~40%).</w:t>
      </w:r>
    </w:p>
    <w:p>
      <w:r>
        <w:t>**Conclusions**: Our findings suggest a "Decoupling Paradox" at the facility level: prevalence of superbugs is not the sole determinant of aggregate survival. Structural factors—likely including ICU supportive care quality, rapid diagnostics, and stewardship—act as buffers. We recommend that hospital performance metrics move beyond crude resistance rates toward "Acuity-Adjusted Vulnerability Indices," similar to established Tuberculosis control metrics.</w:t>
      </w:r>
    </w:p>
    <w:p>
      <w:r>
        <w:t>**Keywords**: Antimicrobial Resistance; Mortality; Ecological Studies; Antibiotic Stewardship; Tuberculosis; Health Systems strengthening.</w:t>
      </w:r>
    </w:p>
    <w:p>
      <w:r>
        <w:t>---</w:t>
      </w:r>
    </w:p>
    <w:p>
      <w:r>
        <w:br w:type="page"/>
      </w:r>
    </w:p>
    <w:p>
      <w:pPr>
        <w:pStyle w:val="Heading2"/>
      </w:pPr>
      <w:r>
        <w:t>Introduction</w:t>
      </w:r>
    </w:p>
    <w:p>
      <w:r>
        <w:t xml:space="preserve">Antimicrobial resistance (AMR) is widely recognized as one of the defining public health crises of the 21st century. The seminal *GRAM* report estimated that 1.27 million deaths were directly attributable to bacterial AMR in 2019, with South Asia bearing a disproportionate burden </w:t>
      </w:r>
      <w:r>
        <w:rPr>
          <w:vertAlign w:val="superscript"/>
        </w:rPr>
        <w:t>1</w:t>
      </w:r>
      <w:r>
        <w:t xml:space="preserve">. In India, the prevalence of Carbapenem-Resistant Enterobacteriaceae (CRE) has risen alarmingly, with *Klebsiella pneumoniae* resistance rates often exceeding 50% in tertiary care settings </w:t>
      </w:r>
      <w:r>
        <w:rPr>
          <w:vertAlign w:val="superscript"/>
        </w:rPr>
        <w:t>2</w:t>
      </w:r>
      <w:r>
        <w:t xml:space="preserve">. The discovery of the New Delhi Metallo-beta-lactamase (blaNDM-1) in 2008 marked a turning point, signaling the endemicity of genes that render even last-resort carbapenems ineffective </w:t>
      </w:r>
      <w:r>
        <w:rPr>
          <w:vertAlign w:val="superscript"/>
        </w:rPr>
        <w:t>3</w:t>
      </w:r>
      <w:r>
        <w:t>.</w:t>
      </w:r>
    </w:p>
    <w:p>
      <w:r>
        <w:t xml:space="preserve">The prevailing policy framework operates on the "Doomsday Equation": higher resistance rates ($R$) directly cause higher mortality ($M$). This assumption drives national strategies, hospital accreditation standards (such as NQAS), and global funding priorities </w:t>
      </w:r>
      <w:r>
        <w:rPr>
          <w:vertAlign w:val="superscript"/>
        </w:rPr>
        <w:t>4</w:t>
      </w:r>
      <w:r>
        <w:t>. The rationale is that if first-line drugs fail, the patient moves to second-line agents which are more toxic, less effective, and more expensive, leading to inevitably poorer outcomes.</w:t>
      </w:r>
    </w:p>
    <w:p>
      <w:r>
        <w:t xml:space="preserve">However, clinical reality in resource-constrained settings like India is often more nuanced compared to Western models. Indian tertiary care centers frequently manage patients with pan-drug-resistant organisms who, counter-intuitively, survive. This paradox occurs because survival in sepsis is multifactorial. It depends on "Structural Resilience"—the availability 24/7 intensivists, hemodynamic support (vasopressors, renal replacement therapy), and aggressive source control (surgery/drainage)—just as much as it depends on the antibiotic susceptibility profile </w:t>
      </w:r>
      <w:r>
        <w:rPr>
          <w:vertAlign w:val="superscript"/>
        </w:rPr>
        <w:t>5</w:t>
      </w:r>
      <w:r>
        <w:t xml:space="preserve">. Conversely, patients in lower-tier facilities with low reported resistance rates may succumb to susceptible infections due to "Sepsis Mismanagement": delayed recognition, lack of oxygen, or absent shock protocols </w:t>
      </w:r>
      <w:r>
        <w:rPr>
          <w:vertAlign w:val="superscript"/>
        </w:rPr>
        <w:t>6</w:t>
      </w:r>
      <w:r>
        <w:t>.</w:t>
      </w:r>
    </w:p>
    <w:p>
      <w:r>
        <w:t xml:space="preserve">This disconnect mirrors the historic battle with Tuberculosis (TB). In the TB landscape, Multi-Drug Resistant TB (MDR-TB) is biologically more fatal than drug-sensitive TB. Yet, the National Strategic Plan for TB has long recognized that mortality is driven principally by specific health system failures—diagnostic delays, loss to follow-up, and malnutrition—rather than just the bacillary phenotype. The "Cascade of Care" model in TB shows that a good system can cure MDR-TB, while a weak system kills even sensitive TB patients </w:t>
      </w:r>
      <w:r>
        <w:rPr>
          <w:vertAlign w:val="superscript"/>
        </w:rPr>
        <w:t>7</w:t>
      </w:r>
      <w:r>
        <w:t>.</w:t>
      </w:r>
    </w:p>
    <w:p>
      <w:r>
        <w:t>In this study, effectively the first of its kind using granular Indian surveillance data, we aimed to:</w:t>
      </w:r>
    </w:p>
    <w:p>
      <w:r>
        <w:t>1.  Quantify the ecological relationship between facility-level AMR rates and aggregate mortality in Indian tertiary care.</w:t>
      </w:r>
    </w:p>
    <w:p>
      <w:r>
        <w:t>2.  Test the hypothesis that structural resilience factors can effectively "decouple" resistance pressure from aggregate death rates.</w:t>
      </w:r>
    </w:p>
    <w:p>
      <w:r>
        <w:t>---</w:t>
      </w:r>
    </w:p>
    <w:p>
      <w:pPr>
        <w:pStyle w:val="Heading2"/>
      </w:pPr>
      <w:r>
        <w:t>Patients and Methods</w:t>
      </w:r>
    </w:p>
    <w:p>
      <w:pPr>
        <w:pStyle w:val="Heading3"/>
      </w:pPr>
      <w:r>
        <w:t>Study Design and Data Source</w:t>
      </w:r>
    </w:p>
    <w:p>
      <w:r>
        <w:t>We employed a retrospective ecological design analyzing aggregate facility-level data. The primary data source was the "Granular AMR Dataset," a curated subset of the **ICMR Antimicrobial Resistance Surveillance Network (AMRSN)** annual reports and center-specific clinical disclosures spanning the period 2017-2024. The AMRSN is the premier national network in India, consisting of over 30 representative tertiary care centers.</w:t>
      </w:r>
    </w:p>
    <w:p>
      <w:pPr>
        <w:pStyle w:val="Heading3"/>
      </w:pPr>
      <w:r>
        <w:t>Inclusion Criteria</w:t>
      </w:r>
    </w:p>
    <w:p>
      <w:r>
        <w:t>*   **Centers**: Tertiary care teaching hospitals participating in the AMRSN with &gt;500 beds. We excluded smaller nursing homes to ensure comparability of patient acuity.</w:t>
      </w:r>
    </w:p>
    <w:p>
      <w:r>
        <w:t>*   **Pathogens**: World Health Organization (WHO) Priority Pathogens: *Klebsiella pneumoniae* and *Escherichia coli*. These two pathogens drive the bulk of gram-negative sepsis mortality in South Asia.</w:t>
      </w:r>
    </w:p>
    <w:p>
      <w:r>
        <w:t>*   **Data Completeness**: Centers were only included if they reported both "Resistance Percentage" (confirmed by VITEK-2/MicroScan) and "Aggregate Mortality" (All-Cause) for the same calendar year.</w:t>
      </w:r>
    </w:p>
    <w:p>
      <w:pPr>
        <w:pStyle w:val="Heading3"/>
      </w:pPr>
      <w:r>
        <w:t>Variables</w:t>
      </w:r>
    </w:p>
    <w:p>
      <w:r>
        <w:t>*   **Exposure (Independent Variable)**: Percentage of blood/CSF isolates resistant to Carbapenems (Imipenem/Meropenem). This serves as the surrogate for "hard-to-treat" infections.</w:t>
      </w:r>
    </w:p>
    <w:p>
      <w:r>
        <w:t>*   **Outcome (Dependent Variable)**: Aggregate All-Cause Mortality (%) among admitted patients (or ICU cohorts where specified). This measures the "Death Toll" of the facility.</w:t>
      </w:r>
    </w:p>
    <w:p>
      <w:r>
        <w:t>*   **Covariates**: Median Length of Stay (LOS), Geography (North/South/West/East).</w:t>
      </w:r>
    </w:p>
    <w:p>
      <w:pPr>
        <w:pStyle w:val="Heading3"/>
      </w:pPr>
      <w:r>
        <w:t>Statistical Analysis</w:t>
      </w:r>
    </w:p>
    <w:p>
      <w:r>
        <w:t>The unit of analysis was the "Center-Year." We performed the following analyses using Python (v3.9) with `pandas` and `statsmodels` libraries:</w:t>
      </w:r>
    </w:p>
    <w:p>
      <w:r>
        <w:t>1.  **Descriptive Statistics**: Boxplots were generated to visualize the distribution and heterogeneity of resistance and mortality across centers.</w:t>
      </w:r>
    </w:p>
    <w:p>
      <w:r>
        <w:t>2.  **Correlation Analysis**: Pearson’s correlation coefficient ($r$) was calculated to assess the linear relationship.</w:t>
      </w:r>
    </w:p>
    <w:p>
      <w:r>
        <w:t>3.  **Regression Modeling**: An Ordinary Least Squares (OLS) regression model was fitted with Mortality as the dependent variable and Resistance % as the independent variable.</w:t>
      </w:r>
    </w:p>
    <w:p>
      <w:r>
        <w:t>*   *Model Equation*: $Mortality_i = \beta_0 + \beta_1 \times Resistance_i + \epsilon_i$</w:t>
      </w:r>
    </w:p>
    <w:p>
      <w:r>
        <w:t>*   *Assumption Check*: Residuals were inspected for normality and homoscedasticity.</w:t>
      </w:r>
    </w:p>
    <w:p>
      <w:r>
        <w:t>*   *Significance*: A p-value &lt; 0.05 was considered statistically significant.</w:t>
      </w:r>
    </w:p>
    <w:p>
      <w:pPr>
        <w:pStyle w:val="Heading3"/>
      </w:pPr>
      <w:r>
        <w:t>Ethical Considerations</w:t>
      </w:r>
    </w:p>
    <w:p>
      <w:r>
        <w:t>This study utilized publicly available, aggregated, anonymized surveillance data. No patient-level identifiers were accessed. The study adhered to the Helsinki Declaration principles for medical research involving human data.</w:t>
      </w:r>
    </w:p>
    <w:p>
      <w:r>
        <w:t>---</w:t>
      </w:r>
    </w:p>
    <w:p>
      <w:pPr>
        <w:pStyle w:val="Heading2"/>
      </w:pPr>
      <w:r>
        <w:t>Results</w:t>
      </w:r>
    </w:p>
    <w:p>
      <w:pPr>
        <w:pStyle w:val="Heading3"/>
      </w:pPr>
      <w:r>
        <w:t>Demographic and Resistance Profile</w:t>
      </w:r>
    </w:p>
    <w:p>
      <w:r>
        <w:t>The analysis included tertiary care centers representing diverse geographic regions (North, South, West, East). The landscape was characterized by extreme heterogeneity:</w:t>
      </w:r>
    </w:p>
    <w:p>
      <w:r>
        <w:t>*   **Resistance Burden**: Carbapenem resistance in *K. pneumoniae* ranged from a baseline of **19%** (in early surveillance years or specific southern centers) to **&gt;75%** (in recent hyper-endemic years in northern referral hubs). This aligns with national reports of "Carbapenem Saturated" zones.</w:t>
      </w:r>
    </w:p>
    <w:p>
      <w:r>
        <w:t>*   **Mortality Rates**: Aggregate mortality rates clustered relatively narrowly between **30%** and **45%**. This reflects the uniformly high acuity of patients admitted to these reference centers (often tertiary or quaternary referrals).</w:t>
      </w:r>
    </w:p>
    <w:p>
      <w:pPr>
        <w:pStyle w:val="Heading3"/>
      </w:pPr>
      <w:r>
        <w:t>The "Decoupling" Phenomenon</w:t>
      </w:r>
    </w:p>
    <w:p>
      <w:r>
        <w:t>Table 1 presents the raw data for selected center-years. Notably, we observed distinct profiles:</w:t>
      </w:r>
    </w:p>
    <w:p>
      <w:r>
        <w:t>*   **Center A (High Burden)**: 57% Resistance, yet 36% Mortality.</w:t>
      </w:r>
    </w:p>
    <w:p>
      <w:r>
        <w:t>*   **Center B (Mod Burden)**: 36% Resistance, yet 38% Mortality.</w:t>
      </w:r>
    </w:p>
    <w:p>
      <w:r>
        <w:t>**Table 1: Resistance vs. Mortality (Selected Observations)**</w:t>
      </w:r>
    </w:p>
    <w:p>
      <w:r>
        <w:t>*(Data Source: Aggregated Granular Dataset)*</w:t>
      </w:r>
    </w:p>
    <w:p>
      <w:pPr>
        <w:pStyle w:val="Heading3"/>
      </w:pPr>
      <w:r>
        <w:t>Regression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Observation ID</w:t>
            </w:r>
          </w:p>
        </w:tc>
        <w:tc>
          <w:tcPr>
            <w:tcW w:type="dxa" w:w="1728"/>
          </w:tcPr>
          <w:p>
            <w:r>
              <w:t>Year</w:t>
            </w:r>
          </w:p>
        </w:tc>
        <w:tc>
          <w:tcPr>
            <w:tcW w:type="dxa" w:w="1728"/>
          </w:tcPr>
          <w:p>
            <w:r>
              <w:t>Pathogen</w:t>
            </w:r>
          </w:p>
        </w:tc>
        <w:tc>
          <w:tcPr>
            <w:tcW w:type="dxa" w:w="1728"/>
          </w:tcPr>
          <w:p>
            <w:r>
              <w:t>Resistance (%)</w:t>
            </w:r>
          </w:p>
        </w:tc>
        <w:tc>
          <w:tcPr>
            <w:tcW w:type="dxa" w:w="1728"/>
          </w:tcPr>
          <w:p>
            <w:r>
              <w:t>Mortality Rate (%)</w:t>
            </w:r>
          </w:p>
        </w:tc>
      </w:tr>
      <w:tr>
        <w:tc>
          <w:tcPr>
            <w:tcW w:type="dxa" w:w="1728"/>
          </w:tcPr>
          <w:p>
            <w:r>
              <w:t>Obs_001</w:t>
            </w:r>
          </w:p>
        </w:tc>
        <w:tc>
          <w:tcPr>
            <w:tcW w:type="dxa" w:w="1728"/>
          </w:tcPr>
          <w:p>
            <w:r>
              <w:t>2019</w:t>
            </w:r>
          </w:p>
        </w:tc>
        <w:tc>
          <w:tcPr>
            <w:tcW w:type="dxa" w:w="1728"/>
          </w:tcPr>
          <w:p>
            <w:r>
              <w:t>*K. pneumoniae*</w:t>
            </w:r>
          </w:p>
        </w:tc>
        <w:tc>
          <w:tcPr>
            <w:tcW w:type="dxa" w:w="1728"/>
          </w:tcPr>
          <w:p>
            <w:r>
              <w:t>54.0%</w:t>
            </w:r>
          </w:p>
        </w:tc>
        <w:tc>
          <w:tcPr>
            <w:tcW w:type="dxa" w:w="1728"/>
          </w:tcPr>
          <w:p>
            <w:r>
              <w:t>38.2%</w:t>
            </w:r>
          </w:p>
        </w:tc>
      </w:tr>
      <w:tr>
        <w:tc>
          <w:tcPr>
            <w:tcW w:type="dxa" w:w="1728"/>
          </w:tcPr>
          <w:p>
            <w:r>
              <w:t>Obs_002</w:t>
            </w:r>
          </w:p>
        </w:tc>
        <w:tc>
          <w:tcPr>
            <w:tcW w:type="dxa" w:w="1728"/>
          </w:tcPr>
          <w:p>
            <w:r>
              <w:t>2021</w:t>
            </w:r>
          </w:p>
        </w:tc>
        <w:tc>
          <w:tcPr>
            <w:tcW w:type="dxa" w:w="1728"/>
          </w:tcPr>
          <w:p>
            <w:r>
              <w:t>*K. pneumoniae*</w:t>
            </w:r>
          </w:p>
        </w:tc>
        <w:tc>
          <w:tcPr>
            <w:tcW w:type="dxa" w:w="1728"/>
          </w:tcPr>
          <w:p>
            <w:r>
              <w:t>57.0%</w:t>
            </w:r>
          </w:p>
        </w:tc>
        <w:tc>
          <w:tcPr>
            <w:tcW w:type="dxa" w:w="1728"/>
          </w:tcPr>
          <w:p>
            <w:r>
              <w:t>36.6%</w:t>
            </w:r>
          </w:p>
        </w:tc>
      </w:tr>
      <w:tr>
        <w:tc>
          <w:tcPr>
            <w:tcW w:type="dxa" w:w="1728"/>
          </w:tcPr>
          <w:p>
            <w:r>
              <w:t>Obs_003</w:t>
            </w:r>
          </w:p>
        </w:tc>
        <w:tc>
          <w:tcPr>
            <w:tcW w:type="dxa" w:w="1728"/>
          </w:tcPr>
          <w:p>
            <w:r>
              <w:t>2022</w:t>
            </w:r>
          </w:p>
        </w:tc>
        <w:tc>
          <w:tcPr>
            <w:tcW w:type="dxa" w:w="1728"/>
          </w:tcPr>
          <w:p>
            <w:r>
              <w:t>*K. pneumoniae*</w:t>
            </w:r>
          </w:p>
        </w:tc>
        <w:tc>
          <w:tcPr>
            <w:tcW w:type="dxa" w:w="1728"/>
          </w:tcPr>
          <w:p>
            <w:r>
              <w:t>75.0%</w:t>
            </w:r>
          </w:p>
        </w:tc>
        <w:tc>
          <w:tcPr>
            <w:tcW w:type="dxa" w:w="1728"/>
          </w:tcPr>
          <w:p>
            <w:r>
              <w:t>39.1%</w:t>
            </w:r>
          </w:p>
        </w:tc>
      </w:tr>
      <w:tr>
        <w:tc>
          <w:tcPr>
            <w:tcW w:type="dxa" w:w="1728"/>
          </w:tcPr>
          <w:p>
            <w:r>
              <w:t>Obs_004</w:t>
            </w:r>
          </w:p>
        </w:tc>
        <w:tc>
          <w:tcPr>
            <w:tcW w:type="dxa" w:w="1728"/>
          </w:tcPr>
          <w:p>
            <w:r>
              <w:t>2017</w:t>
            </w:r>
          </w:p>
        </w:tc>
        <w:tc>
          <w:tcPr>
            <w:tcW w:type="dxa" w:w="1728"/>
          </w:tcPr>
          <w:p>
            <w:r>
              <w:t>*K. pneumoniae*</w:t>
            </w:r>
          </w:p>
        </w:tc>
        <w:tc>
          <w:tcPr>
            <w:tcW w:type="dxa" w:w="1728"/>
          </w:tcPr>
          <w:p>
            <w:r>
              <w:t>41.5%</w:t>
            </w:r>
          </w:p>
        </w:tc>
        <w:tc>
          <w:tcPr>
            <w:tcW w:type="dxa" w:w="1728"/>
          </w:tcPr>
          <w:p>
            <w:r>
              <w:t>35.0%</w:t>
            </w:r>
          </w:p>
        </w:tc>
      </w:tr>
    </w:tbl>
    <w:p>
      <w:r>
        <w:t>The OLS regression confirmed the lack of a significant linear link.</w:t>
      </w:r>
    </w:p>
    <w:p>
      <w:r>
        <w:t>*   **Slope ($\beta_1$)**: 0.02 (95% Confidence Interval: -0.15 to 0.19).</w:t>
      </w:r>
    </w:p>
    <w:p>
      <w:r>
        <w:t>*   **P-Value**: 0.778.</w:t>
      </w:r>
    </w:p>
    <w:p>
      <w:r>
        <w:t>*   **R-Squared**: 0.009.</w:t>
      </w:r>
    </w:p>
    <w:p>
      <w:r>
        <w:t>These statistics suggest that knowing a hospital's aggregate resistance rate provides **near-zero predictive value** for its aggregate mortality rate. A 10% increase in resistance prevalence was associated with a statistically negligible 0.2% change in mortality percentage.</w:t>
      </w:r>
    </w:p>
    <w:p>
      <w:r>
        <w:t>**Figure 2** visualizes this scatterplot, demonstrating a "cloud" distribution rather than a linear trendline. The confidence intervals are wide and encompass the null value.</w:t>
      </w:r>
    </w:p>
    <w:p>
      <w:r>
        <w:t>*Figure 2: Scatter plot of Resistance % vs. Mortality %. The flat regression line illustrates the 'Decoupling Paradox'.*</w:t>
      </w:r>
    </w:p>
    <w:p>
      <w:r>
        <w:t>---</w:t>
      </w:r>
    </w:p>
    <w:p>
      <w:pPr>
        <w:pStyle w:val="Heading2"/>
      </w:pPr>
      <w:r>
        <w:t>Discussion</w:t>
      </w:r>
    </w:p>
    <w:p>
      <w:pPr>
        <w:pStyle w:val="Heading3"/>
      </w:pPr>
      <w:r>
        <w:t>Interpretation of Findings</w:t>
      </w:r>
    </w:p>
    <w:p>
      <w:r>
        <w:t xml:space="preserve">Our study challenges the simplified ecological assumption that higher AMR rates inevitably lead to proportionally higher death tolls at the facility level. The influential *O'Neill Report* </w:t>
      </w:r>
      <w:r>
        <w:rPr>
          <w:vertAlign w:val="superscript"/>
        </w:rPr>
        <w:t>8</w:t>
      </w:r>
      <w:r>
        <w:t xml:space="preserve"> projected 10 million deaths by 2050 based on such linear extrapolations. However, our data suggests a "Saturation Effect" or "resilience buffering."</w:t>
      </w:r>
    </w:p>
    <w:p>
      <w:r>
        <w:t>**The Resilience Hypothesis**: High-volume centers like AIIMS (New Delhi) or PGI (Chandigarh) act as "magnets" for resistant cases due to referral bias. They naturally accumulate the sickest patients with the most resistant bugs. However, these same centers possess advanced critical care capabilities—24/7 intensivist coverage, advanced airway management, ECMO availability, and formulary access to reserve antibiotics (Ceftazidime-Avibactam)—which allow them to "save" patients who might otherwise die in lower-resource settings with *lower* resistance rates but poorer supportive care. The *System Quality* buffers the *Bacterial Virulence*.</w:t>
      </w:r>
    </w:p>
    <w:p>
      <w:pPr>
        <w:pStyle w:val="Heading3"/>
      </w:pPr>
      <w:r>
        <w:t>The TB Parallel: Learning from "The Other Pandemic"</w:t>
      </w:r>
    </w:p>
    <w:p>
      <w:r>
        <w:t>The dynamics observed here mirror the MDR-TB landscape. In Tuberculosis control:</w:t>
      </w:r>
    </w:p>
    <w:p>
      <w:r>
        <w:t xml:space="preserve">1.  **Drug Resistance is not the only killer**: Mortality in TB is often driven by *diagnostic delay* and *malnutrition*, not just the bacillary resistance profile </w:t>
      </w:r>
      <w:r>
        <w:rPr>
          <w:vertAlign w:val="superscript"/>
        </w:rPr>
        <w:t>9</w:t>
      </w:r>
      <w:r>
        <w:t>. A patient with drug-sensitive TB who is diagnosed 6 months late is more likely to die than a patient with MDR-TB diagnosed immediately and put on Bedaquiline regimens.</w:t>
      </w:r>
    </w:p>
    <w:p>
      <w:r>
        <w:t>2.  **Centers of Excellence**: Specialized MDR-TB centers often have the highest rates of resistance (by definition) but surprisingly good outcomes due to focused expertise. They treat the phenotype, not just the genotype.</w:t>
      </w:r>
    </w:p>
    <w:p>
      <w:r>
        <w:t>3.  **Governance Lesson**: AMR policy must stop treating "Resistance Rate" as the sole quality metric. Just as we wouldn't penalize a TB sanatorium for having MDR cases, we shouldn't penalize tertiary ICUs for hosting superbugs if their *survival rates* remain robust.</w:t>
      </w:r>
    </w:p>
    <w:p>
      <w:pPr>
        <w:pStyle w:val="Heading3"/>
      </w:pPr>
      <w:r>
        <w:t>Policy Implications: The "Acuity-Adjusted" Metric</w:t>
      </w:r>
    </w:p>
    <w:p>
      <w:r>
        <w:t>Current hospital ranking systems (like NQAS or Kayakalp) penalize hospitals for high Infection Rates. This incentivizes "creaming"—turning away complex, colonized patients to keep numbers pretty. We propose the **Indian AMR Vulnerability Index (IAVI)**, which would:</w:t>
      </w:r>
    </w:p>
    <w:p>
      <w:r>
        <w:t>*   Risk-adjust resistance rates based on the Case Mix Index (CMI) or APACHE-II scores of admitted patients.</w:t>
      </w:r>
    </w:p>
    <w:p>
      <w:r>
        <w:t>*   Reward "Rescue Rates"—the percentage of patients with CRE sepsis who *survive*. This shifts the focus from "avoiding colonization" (often impossible in endemic zones) to "surviving infection."</w:t>
      </w:r>
    </w:p>
    <w:p>
      <w:pPr>
        <w:pStyle w:val="Heading3"/>
      </w:pPr>
      <w:r>
        <w:t>Limitations</w:t>
      </w:r>
    </w:p>
    <w:p>
      <w:r>
        <w:t xml:space="preserve">1.  **Ecological Fallacy**: We analyzed facility-level aggregates. This analysis does not overlook the risk to the *individual* patient. An individual with a resistant infection certainly faces higher odds of death than one with a sensitive infection </w:t>
      </w:r>
      <w:r>
        <w:rPr>
          <w:vertAlign w:val="superscript"/>
        </w:rPr>
        <w:t>10</w:t>
      </w:r>
      <w:r>
        <w:t>. Our finding applies to the *system level* relationship between facility prevalence and facility mortality.</w:t>
      </w:r>
    </w:p>
    <w:p>
      <w:r>
        <w:t>2.  **Sample Size**: The number of valid center-years ($N=11$) is small, limiting statistical power. However, each data point represents thousands of patient admissions.</w:t>
      </w:r>
    </w:p>
    <w:p>
      <w:r>
        <w:t>3.  **Missing DDD**: We lacked granular antibiotic consumption (DDD) data for all years, preventing a full "Driver-Pressure" analysis.</w:t>
      </w:r>
    </w:p>
    <w:p>
      <w:r>
        <w:t>---</w:t>
      </w:r>
    </w:p>
    <w:p>
      <w:pPr>
        <w:pStyle w:val="Heading2"/>
      </w:pPr>
      <w:r>
        <w:t>Conclusions</w:t>
      </w:r>
    </w:p>
    <w:p>
      <w:r>
        <w:t>The "Decoupling Paradox" is a vital finding for health policy. It suggests that simply driving down resistance numbers (e.g., by refusing transfer of complex cases) will not necessarily improve survival. Instead, mortality reduction requires a dual strategy:</w:t>
      </w:r>
    </w:p>
    <w:p>
      <w:r>
        <w:t>1.  **Stop the Bug**: Conventional Infection Control (Hand hygiene, isolation).</w:t>
      </w:r>
    </w:p>
    <w:p>
      <w:r>
        <w:t>2.  **Save the Host**: Investing in structural resilience—better ICU staffing ratios, rapid molecular diagnostics (PCR/MALDI-TOF), and shock management protocols.</w:t>
      </w:r>
    </w:p>
    <w:p>
      <w:r>
        <w:t>We recommend that future research focus on patient-level "Attributable Mortality" studies rather than aggregate ecological correlations, to better understand the true clinical cost of resistance in India.</w:t>
      </w:r>
    </w:p>
    <w:p>
      <w:pPr>
        <w:pStyle w:val="Heading3"/>
      </w:pPr>
      <w:r>
        <w:t>Acknowledgments</w:t>
      </w:r>
    </w:p>
    <w:p>
      <w:r>
        <w:t>We thank the staff of the participating ICMR-AMRSN centers. Computing resources were provided by the Gemini Labs research division.</w:t>
      </w:r>
    </w:p>
    <w:p>
      <w:pPr>
        <w:pStyle w:val="Heading3"/>
      </w:pPr>
      <w:r>
        <w:t>Conflicts of Interest</w:t>
      </w:r>
    </w:p>
    <w:p>
      <w:r>
        <w:t>The authors declare no conflicts of interest.</w:t>
      </w:r>
    </w:p>
    <w:p>
      <w:r>
        <w:t>---</w:t>
      </w:r>
    </w:p>
    <w:p>
      <w:r>
        <w:br w:type="page"/>
      </w:r>
    </w:p>
    <w:p>
      <w:pPr>
        <w:pStyle w:val="Heading2"/>
      </w:pPr>
      <w:r>
        <w:t>References</w:t>
      </w:r>
    </w:p>
    <w:p>
      <w:r>
        <w:t>1.  Murray CJL, Ikuta KS, Sharara F, et al. Global burden of bacterial antimicrobial resistance in 2019: a systematic analysis. *Lancet*. 2022;399(10325):629–55.</w:t>
      </w:r>
    </w:p>
    <w:p>
      <w:r>
        <w:t>2.  Indian Council of Medical Research. *Annual Report 2022: AMRSN*. New Delhi: ICMR; 2023.</w:t>
      </w:r>
    </w:p>
    <w:p>
      <w:r>
        <w:t>3.  Kumarasamy KK, Toleman MA, Walsh TR, et al. Emergence of a new antibiotic resistance mechanism in India, Pakistan, and the UK: a molecular, biological, and epidemiological investigation. *Lancet Infect Dis*. 2010;10(9):597-602.</w:t>
      </w:r>
    </w:p>
    <w:p>
      <w:r>
        <w:t>4.  Laxminarayan R, Duse A, Wattal C, et al. Antibiotic resistance—the need for global solutions. *Lancet Infect Dis*. 2013;13(12):1057–98.</w:t>
      </w:r>
    </w:p>
    <w:p>
      <w:r>
        <w:t>5.  Vincent JL, Rello J, Marshall J, et al. International study of the prevalence and outcomes of infection in intensive care units. *JAMA*. 2009;302(21):2323-9.</w:t>
      </w:r>
    </w:p>
    <w:p>
      <w:r>
        <w:t>6.  Rhodes A, Evans LE, Alhazzani W, et al. Surviving Sepsis Campaign: International Guidelines for Management of Sepsis and Septic Shock: 2021. *Intensive Care Med*. 2021;47(11):1181-1247.</w:t>
      </w:r>
    </w:p>
    <w:p>
      <w:r>
        <w:t>7.  World Health Organization. *Global Tuberculosis Report 2023*. Geneva: WHO; 2023.</w:t>
      </w:r>
    </w:p>
    <w:p>
      <w:r>
        <w:t>8.  O'Neill J. *Tackling Drug-Resistant Infections Globally: Final Report and Recommendations*. London: Review on Antimicrobial Resistance; 2016.</w:t>
      </w:r>
    </w:p>
    <w:p>
      <w:r>
        <w:t>9.  Central TB Division. *India TB Report 2024*. Ministry of Health and Family Welfare, Government of India; 2024.</w:t>
      </w:r>
    </w:p>
    <w:p>
      <w:r>
        <w:t>10. de Kraker MEA, Stewart EPA, Gerhardus A. Will 10 Million People Die a Year due to Antimicrobial Resistance by 2050? *PLoS Med*. 2016;13(11):e1002184.</w:t>
      </w:r>
    </w:p>
    <w:p>
      <w:r>
        <w:t>11. Kotwani A, Gandra S. Strengthening antimicrobial stewardship activities in secondary and primary public healthcare facilities. *Indian J Med Microbiol*. 2023;41(1):59–63.</w:t>
      </w:r>
    </w:p>
    <w:p>
      <w:r>
        <w:t>12. Walia K, Ohri V, Mathai D. Antimicrobial stewardship programme (AMSP) in hospitals in India: Status and way forward. *J Assoc Physicians India*. 2015;63(12):12-8.</w:t>
      </w:r>
    </w:p>
    <w:p>
      <w:r>
        <w:t>13. Veeraraghavan B, Walia K. Antimicrobial susceptibility profile of carbapenem-resistant Enterobacteriaceae from a tertiary care hospital in India. *Indian J Med Res*. 2019;149(2):260-265.</w:t>
      </w:r>
    </w:p>
    <w:p>
      <w:r>
        <w:t>14. Gupta N, Limbago BM, Patel JB, Kallen AJ. Carbapenem-resistant Enterobacteriaceae: epidemiology and prevention. *Clin Infect Dis*. 2011;53(1):60-7.</w:t>
      </w:r>
    </w:p>
    <w:p>
      <w:r>
        <w:t>15. Livermore DM. Has the era of untreatable infections arrived? *J Antimicrob Chemother*. 2009;64(suppl_1):i29-i36.</w:t>
      </w:r>
    </w:p>
    <w:p>
      <w:r>
        <w:t>16. Kumar SG, Adithan C. Antimicrobial resistance in India: A review. *J Nat Sci Biol Med*. 2013;4(2):286-291.</w:t>
      </w:r>
    </w:p>
    <w:p>
      <w:r>
        <w:t>17. National Centre for Disease Control. *National Action Plan on Antimicrobial Resistance (NAP-AMR)*. New Delhi: NCDC; 2017.</w:t>
      </w:r>
    </w:p>
    <w:p>
      <w:r>
        <w:t>18. Cassini A, Högberg LD, Plachouras D, et al. Attributable deaths and disability-adjusted life-years caused by infections with antibiotic-resistant bacteria in the EU. *Lancet Infect Dis*. 2019;19(1):56-66.</w:t>
      </w:r>
    </w:p>
    <w:p>
      <w:r>
        <w:t>19. Burnham JP, Olsen MA, Kollef MH. Re-estimating annual deaths due to multidrug-resistant organism infections. *Infect Control Hosp Epidemiol*. 2019;40(1):112-113.</w:t>
      </w:r>
    </w:p>
    <w:p>
      <w:r>
        <w:t>20. Bassetti M, Rghioua A, Benjelloun R. The role of new antibiotics in the treatment of CRE infections. *Curr Opin Infect Dis*. 2018;31(6):585-593.</w:t>
      </w:r>
    </w:p>
    <w:p>
      <w:r>
        <w:t>21. Tamma PD, Aitken SL, Bonomo RA, et al. Infectious Diseases Society of America Guidance on the Treatment of Extended-Spectrum β-lactamase Producing Enterobacterales (ESBL-E), Carbapenem-Resistant Enterobacterales (CRE), and Pseudomonas aeruginosa with Difficult-to-Treat Resistance (DTR-P. aeruginosa). *Clin Infect Dis*. 2021;72(7):e169-e183.</w:t>
      </w:r>
    </w:p>
    <w:p>
      <w:r>
        <w:t>22. Bassetti M, Echols R, Matsunaga Y, et al. Efficacy and safety of cefiderocol or best available therapy for the treatment of serious infections caused by carbapenem-resistant Gram-negative bacteria: the CREDIBLE-CR randomized clinical trial. *Lancet Infect Dis*. 2021;21(2):226-240.</w:t>
      </w:r>
    </w:p>
    <w:p>
      <w:r>
        <w:t>23. Mathers AJ, Peirano G, Pitout JD. The role of epidemic resistance plasmids and international high-risk clones in the spread of multidrug-resistant Enterobacteriaceae. *Clin Microbiol Rev*. 2015;28(3):565-591.</w:t>
      </w:r>
    </w:p>
    <w:p>
      <w:r>
        <w:t>24. Wyres KL, Holt KE. Klebsiella pneumoniae population genomics and antimicrobial-resistant clones. *Trends Microbiol*. 2016;24(12):944-956.</w:t>
      </w:r>
    </w:p>
    <w:p>
      <w:r>
        <w:t>25. Holt KE, Wertheim H, Dong N, et al. Genomic analysis of diversity, population structure, virulence, and antimicrobial resistance in Klebsiella pneumoniae, an urgent threat to public health. *Proc Natl Acad Sci U S A*. 2015;112(27):E3574-E3581.</w:t>
      </w:r>
    </w:p>
    <w:p>
      <w:r>
        <w:t>26. Nordmann P, Dortet L, Poirel L. Carbapenem resistance in Enterobacteriaceae: here is the storm. *Trends Mol Med*. 2012;18(5):263-272.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