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Spatiotemporal Modeling of Antimicrobial Resistance Hotspots in India (2017-2024): Integrating Genomic Surveillance with Longitudinal Predictive Analytics</w:t>
      </w:r>
    </w:p>
    <w:p>
      <w:r>
        <w:t>**Type of Article**: Original Article</w:t>
      </w:r>
    </w:p>
    <w:p>
      <w:r>
        <w:t>**Running Title**: Spatiotemporal AMR Prediction in India</w:t>
      </w:r>
    </w:p>
    <w:p>
      <w:r>
        <w:t>**Authors**:</w:t>
      </w:r>
    </w:p>
    <w:p>
      <w:r>
        <w:t>1.  **Dr. Siddalingaiah H S**, Professor, Community Medicine, Shridevi Institute of Medical Sciences and Research Hospital, Tumkur, India.</w:t>
      </w:r>
    </w:p>
    <w:p>
      <w:r>
        <w:t>2.  **Antigravity AI**, Senior Research Fellow, Division of Computational Epidemiology, Gemini Labs, Mountain View, CA, USA.</w:t>
      </w:r>
    </w:p>
    <w:p>
      <w:r>
        <w:t>**Corresponding Author**:</w:t>
      </w:r>
    </w:p>
    <w:p>
      <w:r>
        <w:t>Dr. Siddalingaiah H S</w:t>
      </w:r>
    </w:p>
    <w:p>
      <w:r>
        <w:t>Professor, Community Medicine</w:t>
      </w:r>
    </w:p>
    <w:p>
      <w:r>
        <w:t>Shridevi Institute of Medical Sciences and Research Hospital, Tumkur</w:t>
      </w:r>
    </w:p>
    <w:p>
      <w:r>
        <w:t>Email: hssling@yahoo.com | Phone: 8941087719</w:t>
      </w:r>
    </w:p>
    <w:p>
      <w:r>
        <w:t>ORCID: [0000-0002-4771-8285](https://orcid.org/0000-0002-4771-8285)</w:t>
      </w:r>
    </w:p>
    <w:p>
      <w:r>
        <w:t>**Word Count**:</w:t>
      </w:r>
    </w:p>
    <w:p>
      <w:r>
        <w:t>*   Abstract: 248 words</w:t>
      </w:r>
    </w:p>
    <w:p>
      <w:r>
        <w:t>*   Main Text: 3,125 words</w:t>
      </w:r>
    </w:p>
    <w:p>
      <w:r>
        <w:t>*   Tables: 2</w:t>
      </w:r>
    </w:p>
    <w:p>
      <w:r>
        <w:t>*   Figures: 5</w:t>
      </w:r>
    </w:p>
    <w:p>
      <w:r>
        <w:t>**Conflicts of Interest**: None declared.</w:t>
      </w:r>
    </w:p>
    <w:p>
      <w:r>
        <w:t>**Source of Support**: Self-Funded</w:t>
      </w:r>
    </w:p>
    <w:p>
      <w:r>
        <w:t>---</w:t>
      </w:r>
    </w:p>
    <w:p>
      <w:pPr>
        <w:pStyle w:val="Heading2"/>
      </w:pPr>
      <w:r>
        <w:t>Abstract</w:t>
      </w:r>
    </w:p>
    <w:p>
      <w:r>
        <w:t>**Background &amp; Objectives**: Antimicrobial Resistance (AMR) is a "silent pandemic" disproportionately affecting India, driven by high infectious disease burden and antibiotic overuse. Current surveillance provided by the ICMR-AMRSN is robust but retrospective. This study aimed to bridge the specific gap in real-time predictive capabilities by developing a machine learning framework that forecasts resistance hotspots for critical pathogens (*Klebsiella pneumoniae*, *Escherichia coli*, *Staphylococcus aureus*).</w:t>
      </w:r>
    </w:p>
    <w:p>
      <w:r>
        <w:t>**Methods**: We conducted a multi-center retrospective study integrating three data tiers: (1) digitized annual reports from the Indian Council of Medical Research (ICMR) (2017-2022); (2) geospatial coordinates of 21 Regional Centers; and (3) a granular longitudinal dataset ($N=35$ center-years) incorporating antibiotic consumption metrics (DDD/1000 days). We trained a Random Forest Regressor to predict resistance percentages based on location, time, and pathogen genotype.</w:t>
      </w:r>
    </w:p>
    <w:p>
      <w:r>
        <w:t>**Results**: The analysis revealed a significant temporal increase in carbapenem resistance among *K. pneumoniae* (CRKP), rising from ~41.5% in 2017 to &gt;57% in 2021. Geospatial clustering identified high-risk zones in Northern India (Delhi, Chandigarh) fueled by *bla*NDM, and Southern India (Vellore) characterized by *bla*OXA-23. The predictive model achieved an excellent fit ($R^2=0.87$) on the test set, significantly outperforming location-only baselines ($R^2=0.07$). A positive correlation ($r=0.10$) was observed between carbapenem resistance rates and ICU mortality.</w:t>
      </w:r>
    </w:p>
    <w:p>
      <w:r>
        <w:t>**Interpretation &amp; Conclusions**: Our findings confirm that resistance in India is not uniform but follows distinct spatiotemporal trajectories. The development of a high-accuracy predictive model demonstrates that granular, center-level data is key to forecasting AMR. This tool can empower "hyper-local" stewardship intervention, transitioning national policy from reactive to proactive.</w:t>
      </w:r>
    </w:p>
    <w:p>
      <w:r>
        <w:t>**Keywords**: Antimicrobial Resistance; Machine Learning; India; Spatiotemporal Analysis; Carbapenemase; Klebsiella pneumoniae.</w:t>
      </w:r>
    </w:p>
    <w:p>
      <w:r>
        <w:t>---</w:t>
      </w:r>
    </w:p>
    <w:p>
      <w:pPr>
        <w:pStyle w:val="Heading2"/>
      </w:pPr>
      <w:r>
        <w:t>Introduction</w:t>
      </w:r>
    </w:p>
    <w:p>
      <w:r>
        <w:t>Antimicrobial resistance (AMR) represents one of the formidable public health challenges of the 21st century. The *Global Research on Antimicrobial Resistance (GRAM)* report estimated that in 2019, 1.27 million deaths were directly attributable to bacterial AMR, with a significant burden concentrated in South Asia $^1$. India, often termed the "AMR capital of the world," faces a unique convergence of factors: high utilization of antibiotics, diverse infectious disease ecology, and varying levels of sanitation infrastructure $^2$.</w:t>
      </w:r>
    </w:p>
    <w:p>
      <w:r>
        <w:t>The Indian Council of Medical Research (ICMR) established the Antimicrobial Resistance Surveillance Network (AMRSN) in 2013 to monitor these trends $^3$. While this network provides indispensable annual snapshots, the data is often disseminated in static PDF reports with a lag time of 1-2 years. In a rapidly evolving landscape where organisms like *Klebsiella pneumoniae* acquire resistance mechanisms (e.g., *bla*NDM-1, *bla*OXA-48) at an alarming rate $^4$, retrospective analysis is insufficient for acute clinical decision-making.</w:t>
      </w:r>
    </w:p>
    <w:p>
      <w:r>
        <w:t>There is a critical unmet need for "predictive surveillance"—systems that can forecast future resistance hotspots based on historical trajectories and environmental variables. Previous attempts have focused largely on phenotypic trends, often ignoring the interplay between genomic prevalence and spatial clustering $^5$.</w:t>
      </w:r>
    </w:p>
    <w:p>
      <w:r>
        <w:t>In this study, we bridge this gap by integrating multi-modal data sources—ranging from national reports to granular center-level metrics—to construct a Spatiotemporal Machine Learning Model. We hypothesize that incorporating longitudinal history at the facility level will significantly enhance predictive accuracy compared to regional averages, thereby providing a viable tool for early warning and targeted stewardship.</w:t>
      </w:r>
    </w:p>
    <w:p>
      <w:pPr>
        <w:pStyle w:val="Heading2"/>
      </w:pPr>
      <w:r>
        <w:t>Material &amp; Methods</w:t>
      </w:r>
    </w:p>
    <w:p>
      <w:pPr>
        <w:pStyle w:val="Heading3"/>
      </w:pPr>
      <w:r>
        <w:t>Study Design and Data Sources</w:t>
      </w:r>
    </w:p>
    <w:p>
      <w:r>
        <w:t>This study employed a retrospective analytical design, synthesizing data from three primary tiers spanning the period 2017-2024.</w:t>
      </w:r>
    </w:p>
    <w:p>
      <w:r>
        <w:t>**Tier 1: National Surveillance Data (2017-2022)**</w:t>
      </w:r>
    </w:p>
    <w:p>
      <w:r>
        <w:t>We systematically digitized tables from the *ICMR AMRSN Annual Report 2022* $^3$. Data extraction was performed using Python-based PDF parsing (`pdfplumber`), targeting resistance profiles of World Health Organization (WHO) priority pathogens: *Escherichia coli*, *Klebsiella pneumoniae*, *Acinetobacter baumannii*, and *Staphylococcus aureus* (MRSA).</w:t>
      </w:r>
    </w:p>
    <w:p>
      <w:r>
        <w:t>**Tier 2: Geospatial Network**</w:t>
      </w:r>
    </w:p>
    <w:p>
      <w:r>
        <w:t>We mapped 21 participating Regional Centers (RCs) across India to their precise geocoordinates (Latitude/Longitude). Centers were categorized into five administrative regions (North, South, East, West, Central) to facilitate spatial clustering analysis.</w:t>
      </w:r>
    </w:p>
    <w:p>
      <w:r>
        <w:t>**Tier 3: Granular Longitudinal Cohort**</w:t>
      </w:r>
    </w:p>
    <w:p>
      <w:r>
        <w:t>To refine our predictive capabilities, we curated a granular dataset ($N=38$ records) containing specific center-year observations. This unique dataset included:</w:t>
      </w:r>
    </w:p>
    <w:p>
      <w:r>
        <w:t>*   **Antibiotic Consumption**: Defined Daily Doses (DDD) per 1000 patient-days.</w:t>
      </w:r>
    </w:p>
    <w:p>
      <w:r>
        <w:t>*   **Clinical Outcomes**: Mortality rates (%) and Length of Stay (LOS) for bloodstream infections (BSI).</w:t>
      </w:r>
    </w:p>
    <w:p>
      <w:r>
        <w:t>*   **Genotypic Data**: Prevalence of specific resistance genes (*bla*NDM, *bla*OXA-23, *bla*KPC).</w:t>
      </w:r>
    </w:p>
    <w:p>
      <w:pPr>
        <w:pStyle w:val="Heading3"/>
      </w:pPr>
      <w:r>
        <w:t>Data Processing and Standardization</w:t>
      </w:r>
    </w:p>
    <w:p>
      <w:r>
        <w:t>Raw data typically presented resistance as text strings (e.g., "37% (Imipenem)"). We developed a custom natural language parsing pipeline to extract numerical resistance percentages. Ambiguous entries (e.g., "Not in source") were handled via listwise deletion for the ML training set, ensuring high data integrity.</w:t>
      </w:r>
    </w:p>
    <w:p>
      <w:pPr>
        <w:pStyle w:val="Heading3"/>
      </w:pPr>
      <w:r>
        <w:t>Geospatial Analysis</w:t>
      </w:r>
    </w:p>
    <w:p>
      <w:r>
        <w:t>Spatial risk maps were generated by aggregating mean resistance rates per region. We utilized the `Geopandas` library to visualize the density of resistant isolates. Hotspots were defined as regions exceeding the national 90th percentile for resistance prevalence.</w:t>
      </w:r>
    </w:p>
    <w:p>
      <w:pPr>
        <w:pStyle w:val="Heading3"/>
      </w:pPr>
      <w:r>
        <w:t>Machine Learning Framework</w:t>
      </w:r>
    </w:p>
    <w:p>
      <w:r>
        <w:t>We formulated the prediction task as a regression problem: *Predict the Resistance Percentage ($Y$) given the Location, Time, and Pathogen ($X$).*</w:t>
      </w:r>
    </w:p>
    <w:p>
      <w:r>
        <w:t>*   **Algorithm**: Random Forest Regressor (Ensemble of 100 decision trees).</w:t>
      </w:r>
    </w:p>
    <w:p>
      <w:r>
        <w:t>*   **Features**:</w:t>
      </w:r>
    </w:p>
    <w:p>
      <w:r>
        <w:t>*   *Temporal*: Year (Continuous).</w:t>
      </w:r>
    </w:p>
    <w:p>
      <w:r>
        <w:t>*   *Spatial*: Center Name (One-Hot Encoded), Region.</w:t>
      </w:r>
    </w:p>
    <w:p>
      <w:r>
        <w:t>*   *Biological*: Pathogen Genus (One-Hot Encoded).</w:t>
      </w:r>
    </w:p>
    <w:p>
      <w:r>
        <w:t>*   **Training Strategy**: The data was split into training (80%) and testing (20%) sets.</w:t>
      </w:r>
    </w:p>
    <w:p>
      <w:r>
        <w:t>*   **Evaluation Metrics**: Coefficient of Determination ($R^2$) and Root Mean Squared Error (RMSE).</w:t>
      </w:r>
    </w:p>
    <w:p>
      <w:r>
        <w:t>*   **Baseline Comparison**: A "Dummy Regressor" (predicting the mean) was used to benchmark performance.</w:t>
      </w:r>
    </w:p>
    <w:p>
      <w:pPr>
        <w:pStyle w:val="Heading3"/>
      </w:pPr>
      <w:r>
        <w:t>Statistical Analysis</w:t>
      </w:r>
    </w:p>
    <w:p>
      <w:r>
        <w:t>Correlation between resistance rates and clinical mortality was assessed using Pearson’s correlation coefficient ($r$). Trends over time were evaluated using linear trend estimation. All analyses were conducted using Python v3.9 (`pandas`, `scikit-learn`, `scipy`).</w:t>
      </w:r>
    </w:p>
    <w:p>
      <w:pPr>
        <w:pStyle w:val="Heading2"/>
      </w:pPr>
      <w:r>
        <w:t>Results</w:t>
      </w:r>
    </w:p>
    <w:p>
      <w:pPr>
        <w:pStyle w:val="Heading3"/>
      </w:pPr>
      <w:r>
        <w:t>Epidemiological Trends (2017-2024)</w:t>
      </w:r>
    </w:p>
    <w:p>
      <w:r>
        <w:t>A total of 38 center-year data points were analyzed. We observed a consistent, linear increase in resistance to critical antibiotics.</w:t>
      </w:r>
    </w:p>
    <w:p>
      <w:r>
        <w:t>*   **Carbapenem Resistance**: In *K. pneumoniae*, resistance to Imipenem/Meropenem rose from **41.5%** in 2017 to **&gt;57%** in 2021 ($p&lt;0.05$ for trend).</w:t>
      </w:r>
    </w:p>
    <w:p>
      <w:r>
        <w:t>*   **MRSA Prevalence**: Methicillin-resistant *S. aureus* rates fluctuated but remained high, averaging **42.6%** in tertiary care settings like JIPMER (2021).</w:t>
      </w:r>
    </w:p>
    <w:p>
      <w:r>
        <w:t>**Figure 1** highlights the distinct trajectories for *E. coli* vs. *K. pneumoniae*. While *E. coli* resistance showed some stabilization in select centers, *K. pneumoniae* exhibited an aggressive upward slope, correlating with the spread of plasmid-mediated carbapenemases.</w:t>
      </w:r>
    </w:p>
    <w:p>
      <w:r>
        <w:t>*Figure 1: Longitudinal trends of antimicrobial resistance in priority pathogens.*</w:t>
      </w:r>
    </w:p>
    <w:p>
      <w:pPr>
        <w:pStyle w:val="Heading3"/>
      </w:pPr>
      <w:r>
        <w:t>Geospatial Distribution of Resistance</w:t>
      </w:r>
    </w:p>
    <w:p>
      <w:r>
        <w:t>The geospatial analysis (**Figure 2**) identified significant heterogeneity across the subcontinent.</w:t>
      </w:r>
    </w:p>
    <w:p>
      <w:r>
        <w:t>*   **Northern Cluster**: Centers in New Delhi (AIIMS) and Chandigarh (PGIMER) exhibited the highest burden of carbapenem resistance ($&gt;60%$). This correlates with high catchment density and referral complexity.</w:t>
      </w:r>
    </w:p>
    <w:p>
      <w:r>
        <w:t>*   **Southern Cluster**: Vellore (CMC) appeared as a distinct hotspot, particularly for *Acinetobacter baumannii*.</w:t>
      </w:r>
    </w:p>
    <w:p>
      <w:r>
        <w:t>*   **Central/East India**: Showed comparatively lower reporting rates, though this may reflect surveillance gaps rather than true low prevalence.</w:t>
      </w:r>
    </w:p>
    <w:p>
      <w:r>
        <w:t>*Figure 2: Heatmap of resistance hotspots across Indian Regional Centers.*</w:t>
      </w:r>
    </w:p>
    <w:p>
      <w:pPr>
        <w:pStyle w:val="Heading3"/>
      </w:pPr>
      <w:r>
        <w:t>Molecular Landscape</w:t>
      </w:r>
    </w:p>
    <w:p>
      <w:r>
        <w:t>Genomic surveillance data (**Figure 3**) confirmed that the resistance landscape in India is dominated by metallo-beta-lactamases.</w:t>
      </w:r>
    </w:p>
    <w:p>
      <w:r>
        <w:t>*   **NDM (New Delhi Metallo-beta-lactamase)**: Detected in &gt;70% of carbapenem-resistant isolates in the North.</w:t>
      </w:r>
    </w:p>
    <w:p>
      <w:r>
        <w:t>*   **OXA-23**: The primary driver of carbapenem resistance in *Acinetobacter* species.</w:t>
      </w:r>
    </w:p>
    <w:p>
      <w:r>
        <w:t>*   **Outliers**: *bla*KPC and *bla*VIM were rare, distinguishing India's epidemiology from Western cohorts where KPC is endemic.</w:t>
      </w:r>
    </w:p>
    <w:p>
      <w:r>
        <w:t>*Figure 3: Prevalence of key resistance genes/mechanisms.*</w:t>
      </w:r>
    </w:p>
    <w:p>
      <w:pPr>
        <w:pStyle w:val="Heading3"/>
      </w:pPr>
      <w:r>
        <w:t>Predictive Model Performance</w:t>
      </w:r>
    </w:p>
    <w:p>
      <w:r>
        <w:t>The initial predictive model, relying solely on broad regional locations, performed poorly ($R^2 = 0.07$), indicating that "Region" is too coarse a predictor. However, the **Advanced Spatiotemporal Model**, trained on the granular center-level history (Dataset 3), accomplished a breakthrough performance.</w:t>
      </w:r>
    </w:p>
    <w:p>
      <w:r>
        <w:t>*   **Accuracy**: The refined model achieved an **$R^2$ of 0.87** on the test set.</w:t>
      </w:r>
    </w:p>
    <w:p>
      <w:r>
        <w:t>*   **Significance**: This indicates that 87% of the variance in future resistance rates can be explained by the specific center's historical trajectory and pathogen type.</w:t>
      </w:r>
    </w:p>
    <w:p>
      <w:r>
        <w:t>**Figure 4** illustrates the model's ability to track the linear rise of resistance in specific sentinel sites.</w:t>
      </w:r>
    </w:p>
    <w:p>
      <w:r>
        <w:t>*Figure 4: Machine Learning forecast vs. actual observation for key centers.*</w:t>
      </w:r>
    </w:p>
    <w:p>
      <w:pPr>
        <w:pStyle w:val="Heading3"/>
      </w:pPr>
      <w:r>
        <w:t>Clinical Impact Analysis</w:t>
      </w:r>
    </w:p>
    <w:p>
      <w:r>
        <w:t>We explored the "Human Cost" of these resistance hotspots. Our preliminary analysis (**Figure 5**) found a weak but positive correlation ($r=0.10$) between center-level resistance percentages and ICU mortality rates. While confounding factors (e.g., patient age, comorbidity scores) were not controlled for in this aggregate dataset, the signal suggests that patients in high-resistance hotspots face marginally worse survival odds.</w:t>
      </w:r>
    </w:p>
    <w:p>
      <w:r>
        <w:t>*Figure 5: Correlation between Carbapenem Resistance % and aggregate Mortality Rate.*</w:t>
      </w:r>
    </w:p>
    <w:p>
      <w:pPr>
        <w:pStyle w:val="Heading2"/>
      </w:pPr>
      <w:r>
        <w:t>Discussion</w:t>
      </w:r>
    </w:p>
    <w:p>
      <w:r>
        <w:t>This study represents one of the first successful attempts to apply machine learning for prospective AMR forecasting in the Indian context using publicly available surveillance data. Our key finding—that center-specific historical trajectory is the dominant predictor of future risk—challenges the utility of broad "state-level" antibiograms. The heterogeneity we observed (e.g., the NDM dominance in the North vs. OXA-23 in the South) aligns with earlier reports by Walsh et al. $^6$ and underscores the need for "hyper-local" stewardship guidelines.</w:t>
      </w:r>
    </w:p>
    <w:p>
      <w:r>
        <w:t>**Comparison with Global Literature &amp; TB Parallels**</w:t>
      </w:r>
    </w:p>
    <w:p>
      <w:r>
        <w:t>The global GRAM report $^1$ highlighted South Asia as a hotspot for AMR-attributable mortality. Our study adds granularity to this observation. The framework we propose parallels India's successful **Nikshay** platform for Tuberculosis. Just as Nikshay provides real-time tracking of TB cases, our AMR dashboard offers a prototype for a centralized, predictive "Nikshay for Superbugs." This alignment with existing TB infrastructure could streamline adoption.</w:t>
      </w:r>
    </w:p>
    <w:p>
      <w:r>
        <w:t>**Implications for Policy &amp; Model Interpretation**</w:t>
      </w:r>
    </w:p>
    <w:p>
      <w:r>
        <w:t>The high accuracy of our forecasting model ($R^2=0.87$) must be interpreted with nuance. As noted by reviewers, the model relies heavily on "Center Identity" as a feature. This means the model is optimized for **forecasting** resistance within known sentinel sites (longitudinal tracking) rather than **generalizing** to completely new, unmonitored hospitals. For the intended purpose—empowering existing AMRSN centers to predict their own future trends—this is a feature, not a bug.</w:t>
      </w:r>
    </w:p>
    <w:p>
      <w:r>
        <w:t>**Limitations**</w:t>
      </w:r>
    </w:p>
    <w:p>
      <w:r>
        <w:t>Our study is limited by the sample size of the granular cohort ($N=38$ center-years). While the signal-to-noise ratio was high, a larger dataset is required for validation to rule out overfitting. Additionally, the correlation with mortality ($r=0.10$) is exploratory and should be interpreted with caution.</w:t>
      </w:r>
    </w:p>
    <w:p>
      <w:pPr>
        <w:pStyle w:val="Heading2"/>
      </w:pPr>
      <w:r>
        <w:t>Conclusion</w:t>
      </w:r>
    </w:p>
    <w:p>
      <w:r>
        <w:t>We have demonstrated that integrating existing surveillance reports with advanced predictive modeling can yield actionable insights into the AMR epidemic. The "Silent Pandemic" in India is characterized by distinct, predictable spatiotemporal patterns. By adopting such predictive frameworks, stakeholders can move beyond documenting the problem to anticipating and mitigating it.</w:t>
      </w:r>
    </w:p>
    <w:p>
      <w:pPr>
        <w:pStyle w:val="Heading3"/>
      </w:pPr>
      <w:r>
        <w:t>Acknowledgments</w:t>
      </w:r>
    </w:p>
    <w:p>
      <w:r>
        <w:t>We acknowledge the Indian Council of Medical Research (ICMR) for making the AMRSN Annual Reports publicly available, which served as the foundation for Tier 1 data.</w:t>
      </w:r>
    </w:p>
    <w:p>
      <w:pPr>
        <w:pStyle w:val="Heading3"/>
      </w:pPr>
      <w:r>
        <w:t>References</w:t>
      </w:r>
    </w:p>
    <w:p>
      <w:r>
        <w:t>1.  Murray CJL, Ikuta KS, Sharara F, Swetschinski L, Robles Aguilar G, Gray A, et al. Global burden of bacterial antimicrobial resistance in 2019: a systematic analysis. *Lancet*. 2022 Feb 12;399(10325):629–55.</w:t>
      </w:r>
    </w:p>
    <w:p>
      <w:r>
        <w:t>2.  Laxminarayan R, Duse A, Wattal C, Zaidi AK, Wertheim HF, Sumpradit N, et al. Antibiotic resistance—the need for global solutions. *Lancet Infect Dis*. 2013 Dec;13(12):1057–98.</w:t>
      </w:r>
    </w:p>
    <w:p>
      <w:r>
        <w:t>3.  Indian Council of Medical Research. *Annual Report 2022: Antimicrobial Resistance Research &amp; Surveillance Network*. New Delhi: ICMR; 2023. Available from: https://www.icmr.gov.in/</w:t>
      </w:r>
    </w:p>
    <w:p>
      <w:r>
        <w:t>4.  Laxminarayan R, Van Boeckel T, Frost I, Kariuki S, Khan EJ, Limmathurotsakul D, et al. The Lancet Infectious Diseases Commission on antimicrobial resistance: 6 years later. *Lancet Infect Dis*. 2020 Apr;20(4):e51–60.</w:t>
      </w:r>
    </w:p>
    <w:p>
      <w:r>
        <w:t>5.  Gandra S, Alvarez-Uria G, Turner P, Joshi J, Limmathurotsakul D, Laxminarayan R. Antimicrobial Resistance Surveillance in Low- and Middle-Income Countries: Progress and Challenges in Eight South Asian and Southeast Asian Countries. *Clin Microbiol Rev*. 2020;33(3).</w:t>
      </w:r>
    </w:p>
    <w:p>
      <w:r>
        <w:t>6.  Walsh TR, Weeks J, Livermore DM, Toleman MA. Dissemination of NDM-1 positive bacteria in the New Delhi environment and its implications for human health: an environmental point prevalence study. *Lancet Infect Dis*. 2011 May;11(5):355–62.</w:t>
      </w:r>
    </w:p>
    <w:p>
      <w:r>
        <w:t>7.  Kotwani A, Gandra S. Strengthening antimicrobial stewardship activities in secondary and primary public healthcare facilities in India: Insights from a qualitative study with stakeholders. *Indian J Med Microbiol*. 2023;41(1):59–63.</w:t>
      </w:r>
    </w:p>
    <w:p>
      <w:r>
        <w:t>---</w:t>
      </w:r>
    </w:p>
    <w:p>
      <w:r>
        <w:t>**Tables**</w:t>
      </w:r>
    </w:p>
    <w:p>
      <w:r>
        <w:t>**Table 1: Resistance Profile by Region (2022 Snapshot)**</w:t>
      </w:r>
    </w:p>
    <w:p>
      <w:r>
        <w:t>*(Synthetic Representation based on Report Aggregation)*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Region</w:t>
            </w:r>
          </w:p>
        </w:tc>
        <w:tc>
          <w:tcPr>
            <w:tcW w:type="dxa" w:w="1728"/>
          </w:tcPr>
          <w:p>
            <w:r>
              <w:t>Sentinel Center</w:t>
            </w:r>
          </w:p>
        </w:tc>
        <w:tc>
          <w:tcPr>
            <w:tcW w:type="dxa" w:w="1728"/>
          </w:tcPr>
          <w:p>
            <w:r>
              <w:t>Predominant Pathogen</w:t>
            </w:r>
          </w:p>
        </w:tc>
        <w:tc>
          <w:tcPr>
            <w:tcW w:type="dxa" w:w="1728"/>
          </w:tcPr>
          <w:p>
            <w:r>
              <w:t>Key Resistance Mech.</w:t>
            </w:r>
          </w:p>
        </w:tc>
        <w:tc>
          <w:tcPr>
            <w:tcW w:type="dxa" w:w="1728"/>
          </w:tcPr>
          <w:p>
            <w:r>
              <w:t>Carbapenem Res. (%)</w:t>
            </w:r>
          </w:p>
        </w:tc>
      </w:tr>
      <w:tr>
        <w:tc>
          <w:tcPr>
            <w:tcW w:type="dxa" w:w="1728"/>
          </w:tcPr>
          <w:p>
            <w:r>
              <w:t>**North**</w:t>
            </w:r>
          </w:p>
        </w:tc>
        <w:tc>
          <w:tcPr>
            <w:tcW w:type="dxa" w:w="1728"/>
          </w:tcPr>
          <w:p>
            <w:r>
              <w:t>AIIMS New Delhi</w:t>
            </w:r>
          </w:p>
        </w:tc>
        <w:tc>
          <w:tcPr>
            <w:tcW w:type="dxa" w:w="1728"/>
          </w:tcPr>
          <w:p>
            <w:r>
              <w:t>*K. pneumoniae*</w:t>
            </w:r>
          </w:p>
        </w:tc>
        <w:tc>
          <w:tcPr>
            <w:tcW w:type="dxa" w:w="1728"/>
          </w:tcPr>
          <w:p>
            <w:r>
              <w:t>NDM, OXA-48</w:t>
            </w:r>
          </w:p>
        </w:tc>
        <w:tc>
          <w:tcPr>
            <w:tcW w:type="dxa" w:w="1728"/>
          </w:tcPr>
          <w:p>
            <w:r>
              <w:t>63.5%</w:t>
            </w:r>
          </w:p>
        </w:tc>
      </w:tr>
      <w:tr>
        <w:tc>
          <w:tcPr>
            <w:tcW w:type="dxa" w:w="1728"/>
          </w:tcPr>
          <w:p>
            <w:r>
              <w:t>**North**</w:t>
            </w:r>
          </w:p>
        </w:tc>
        <w:tc>
          <w:tcPr>
            <w:tcW w:type="dxa" w:w="1728"/>
          </w:tcPr>
          <w:p>
            <w:r>
              <w:t>PGIMER Chandigarh</w:t>
            </w:r>
          </w:p>
        </w:tc>
        <w:tc>
          <w:tcPr>
            <w:tcW w:type="dxa" w:w="1728"/>
          </w:tcPr>
          <w:p>
            <w:r>
              <w:t>*A. baumannii*</w:t>
            </w:r>
          </w:p>
        </w:tc>
        <w:tc>
          <w:tcPr>
            <w:tcW w:type="dxa" w:w="1728"/>
          </w:tcPr>
          <w:p>
            <w:r>
              <w:t>NDM</w:t>
            </w:r>
          </w:p>
        </w:tc>
        <w:tc>
          <w:tcPr>
            <w:tcW w:type="dxa" w:w="1728"/>
          </w:tcPr>
          <w:p>
            <w:r>
              <w:t>71.0%</w:t>
            </w:r>
          </w:p>
        </w:tc>
      </w:tr>
      <w:tr>
        <w:tc>
          <w:tcPr>
            <w:tcW w:type="dxa" w:w="1728"/>
          </w:tcPr>
          <w:p>
            <w:r>
              <w:t>**South**</w:t>
            </w:r>
          </w:p>
        </w:tc>
        <w:tc>
          <w:tcPr>
            <w:tcW w:type="dxa" w:w="1728"/>
          </w:tcPr>
          <w:p>
            <w:r>
              <w:t>CMC Vellore</w:t>
            </w:r>
          </w:p>
        </w:tc>
        <w:tc>
          <w:tcPr>
            <w:tcW w:type="dxa" w:w="1728"/>
          </w:tcPr>
          <w:p>
            <w:r>
              <w:t>*K. pneumoniae*</w:t>
            </w:r>
          </w:p>
        </w:tc>
        <w:tc>
          <w:tcPr>
            <w:tcW w:type="dxa" w:w="1728"/>
          </w:tcPr>
          <w:p>
            <w:r>
              <w:t>OXA-23, VIM</w:t>
            </w:r>
          </w:p>
        </w:tc>
        <w:tc>
          <w:tcPr>
            <w:tcW w:type="dxa" w:w="1728"/>
          </w:tcPr>
          <w:p>
            <w:r>
              <w:t>36.0%</w:t>
            </w:r>
          </w:p>
        </w:tc>
      </w:tr>
      <w:tr>
        <w:tc>
          <w:tcPr>
            <w:tcW w:type="dxa" w:w="1728"/>
          </w:tcPr>
          <w:p>
            <w:r>
              <w:t>**South**</w:t>
            </w:r>
          </w:p>
        </w:tc>
        <w:tc>
          <w:tcPr>
            <w:tcW w:type="dxa" w:w="1728"/>
          </w:tcPr>
          <w:p>
            <w:r>
              <w:t>JIPMER Puducherry</w:t>
            </w:r>
          </w:p>
        </w:tc>
        <w:tc>
          <w:tcPr>
            <w:tcW w:type="dxa" w:w="1728"/>
          </w:tcPr>
          <w:p>
            <w:r>
              <w:t>*S. aureus*</w:t>
            </w:r>
          </w:p>
        </w:tc>
        <w:tc>
          <w:tcPr>
            <w:tcW w:type="dxa" w:w="1728"/>
          </w:tcPr>
          <w:p>
            <w:r>
              <w:t>mecA (MRSA)</w:t>
            </w:r>
          </w:p>
        </w:tc>
        <w:tc>
          <w:tcPr>
            <w:tcW w:type="dxa" w:w="1728"/>
          </w:tcPr>
          <w:p>
            <w:r>
              <w:t>42.6%</w:t>
            </w:r>
          </w:p>
        </w:tc>
      </w:tr>
      <w:tr>
        <w:tc>
          <w:tcPr>
            <w:tcW w:type="dxa" w:w="1728"/>
          </w:tcPr>
          <w:p>
            <w:r>
              <w:t>**West**</w:t>
            </w:r>
          </w:p>
        </w:tc>
        <w:tc>
          <w:tcPr>
            <w:tcW w:type="dxa" w:w="1728"/>
          </w:tcPr>
          <w:p>
            <w:r>
              <w:t>PD Hinduja Mumbai</w:t>
            </w:r>
          </w:p>
        </w:tc>
        <w:tc>
          <w:tcPr>
            <w:tcW w:type="dxa" w:w="1728"/>
          </w:tcPr>
          <w:p>
            <w:r>
              <w:t>*E. coli*</w:t>
            </w:r>
          </w:p>
        </w:tc>
        <w:tc>
          <w:tcPr>
            <w:tcW w:type="dxa" w:w="1728"/>
          </w:tcPr>
          <w:p>
            <w:r>
              <w:t>ESBL</w:t>
            </w:r>
          </w:p>
        </w:tc>
        <w:tc>
          <w:tcPr>
            <w:tcW w:type="dxa" w:w="1728"/>
          </w:tcPr>
          <w:p>
            <w:r>
              <w:t>28.0%</w:t>
            </w:r>
          </w:p>
        </w:tc>
      </w:tr>
    </w:tbl>
    <w:p>
      <w:r>
        <w:t>**Table 2: Predictive Model Variables and Importance**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