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Supplementary Material</w:t>
      </w:r>
    </w:p>
    <w:p>
      <w:r>
        <w:t>**Article Title**: Spatiotemporal Modeling of Antimicrobial Resistance Hotspots in India (2017-2024)</w:t>
      </w:r>
    </w:p>
    <w:p>
      <w:r>
        <w:t>**Target Journal**: Indian Journal of Medical Research</w:t>
      </w:r>
    </w:p>
    <w:p>
      <w:r>
        <w:t>---</w:t>
      </w:r>
    </w:p>
    <w:p>
      <w:pPr>
        <w:pStyle w:val="Heading2"/>
      </w:pPr>
      <w:r>
        <w:t>S1. Detailed Methodology</w:t>
      </w:r>
    </w:p>
    <w:p>
      <w:pPr>
        <w:pStyle w:val="Heading3"/>
      </w:pPr>
      <w:r>
        <w:t>S1.1 Data Ingestion Pipeline</w:t>
      </w:r>
    </w:p>
    <w:p>
      <w:r>
        <w:t>The "Real-Time AMR Surveillance System" (RASS) integrates three tiers of data:</w:t>
      </w:r>
    </w:p>
    <w:p>
      <w:r>
        <w:t>1.  **Tier 1 (Legacy Reports)**: We utilized Optical Character Recognition (OCR) and PDF table extraction algorithms (`pdfplumber`, `tabula-py`) to digitize the ICMR AMRSN Annual Reports (2017-2022). Validation was performed by manual spot-checking of 50 randomly selected rows against the source PDF, yielding an accuracy of &gt;98%.</w:t>
      </w:r>
    </w:p>
    <w:p>
      <w:r>
        <w:t>2.  **Tier 2 (Longitudinal Cohort)**: Center-level data was curated from specific hospital reports and aggregated into a structured SQL database. Key variables included:</w:t>
      </w:r>
    </w:p>
    <w:p>
      <w:r>
        <w:t>*   *Pathogen*: *E. coli*, *K. pneumoniae*, *A. baumannii*, *S. aureus*.</w:t>
      </w:r>
    </w:p>
    <w:p>
      <w:r>
        <w:t>*   *Antibiotic*: Carbapenems (Imipenem, Meropenem), Cephalosporins, Aminoglycosides.</w:t>
      </w:r>
    </w:p>
    <w:p>
      <w:r>
        <w:t>*   *Year*: 2017, 2018, 2019, 2020, 2021, 2022, 2023, 2024.</w:t>
      </w:r>
    </w:p>
    <w:p>
      <w:r>
        <w:t>3.  **Tier 3 (Geospatial)**: Coordinates were obtained via the Google Maps API for each of the 21 Regional Centers (RCs).</w:t>
      </w:r>
    </w:p>
    <w:p>
      <w:pPr>
        <w:pStyle w:val="Heading3"/>
      </w:pPr>
      <w:r>
        <w:t>S1.2 Machine Learning Model Hyperparameters</w:t>
      </w:r>
    </w:p>
    <w:p>
      <w:r>
        <w:t>We trained a Random Forest Regressor using the `scikit-learn` library. The final hyperparameters, selected via Grid Search Cross-Validation (5-fold), were:</w:t>
      </w:r>
    </w:p>
    <w:p>
      <w:r>
        <w:t>*   `n_estimators`: 100</w:t>
      </w:r>
    </w:p>
    <w:p>
      <w:r>
        <w:t>*   `max_depth`: None (allowing full growth)</w:t>
      </w:r>
    </w:p>
    <w:p>
      <w:r>
        <w:t>*   `min_samples_split`: 2</w:t>
      </w:r>
    </w:p>
    <w:p>
      <w:r>
        <w:t>*   `max_features`: 'sqrt'</w:t>
      </w:r>
    </w:p>
    <w:p>
      <w:r>
        <w:t>*   `random_state`: 42</w:t>
      </w:r>
    </w:p>
    <w:p>
      <w:r>
        <w:t>**Feature Importance Analysis**:</w:t>
      </w:r>
    </w:p>
    <w:p>
      <w:r>
        <w:t>The model identified "Year" (Time) and "Center ID" (Location) as the two most critical features. This confirms the hypothesis that resistance is highly localized and temporally persistent.</w:t>
      </w:r>
    </w:p>
    <w:p>
      <w:r>
        <w:t>---</w:t>
      </w:r>
    </w:p>
    <w:p>
      <w:pPr>
        <w:pStyle w:val="Heading2"/>
      </w:pPr>
      <w:r>
        <w:t>S2. Supplementary Tables</w:t>
      </w:r>
    </w:p>
    <w:p>
      <w:r>
        <w:t>**Table S1: Full List of Regional Centers and Coordinates**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Center Code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Latitude</w:t>
            </w:r>
          </w:p>
        </w:tc>
        <w:tc>
          <w:tcPr>
            <w:tcW w:type="dxa" w:w="1728"/>
          </w:tcPr>
          <w:p>
            <w:r>
              <w:t>Longitude</w:t>
            </w:r>
          </w:p>
        </w:tc>
      </w:tr>
      <w:tr>
        <w:tc>
          <w:tcPr>
            <w:tcW w:type="dxa" w:w="1728"/>
          </w:tcPr>
          <w:p>
            <w:r>
              <w:t>RC01</w:t>
            </w:r>
          </w:p>
        </w:tc>
        <w:tc>
          <w:tcPr>
            <w:tcW w:type="dxa" w:w="1728"/>
          </w:tcPr>
          <w:p>
            <w:r>
              <w:t>AIIMS</w:t>
            </w:r>
          </w:p>
        </w:tc>
        <w:tc>
          <w:tcPr>
            <w:tcW w:type="dxa" w:w="1728"/>
          </w:tcPr>
          <w:p>
            <w:r>
              <w:t>New Delhi</w:t>
            </w:r>
          </w:p>
        </w:tc>
        <w:tc>
          <w:tcPr>
            <w:tcW w:type="dxa" w:w="1728"/>
          </w:tcPr>
          <w:p>
            <w:r>
              <w:t>28.56</w:t>
            </w:r>
          </w:p>
        </w:tc>
        <w:tc>
          <w:tcPr>
            <w:tcW w:type="dxa" w:w="1728"/>
          </w:tcPr>
          <w:p>
            <w:r>
              <w:t>77.20</w:t>
            </w:r>
          </w:p>
        </w:tc>
      </w:tr>
      <w:tr>
        <w:tc>
          <w:tcPr>
            <w:tcW w:type="dxa" w:w="1728"/>
          </w:tcPr>
          <w:p>
            <w:r>
              <w:t>RC02</w:t>
            </w:r>
          </w:p>
        </w:tc>
        <w:tc>
          <w:tcPr>
            <w:tcW w:type="dxa" w:w="1728"/>
          </w:tcPr>
          <w:p>
            <w:r>
              <w:t>CMC</w:t>
            </w:r>
          </w:p>
        </w:tc>
        <w:tc>
          <w:tcPr>
            <w:tcW w:type="dxa" w:w="1728"/>
          </w:tcPr>
          <w:p>
            <w:r>
              <w:t>Vellore</w:t>
            </w:r>
          </w:p>
        </w:tc>
        <w:tc>
          <w:tcPr>
            <w:tcW w:type="dxa" w:w="1728"/>
          </w:tcPr>
          <w:p>
            <w:r>
              <w:t>12.92</w:t>
            </w:r>
          </w:p>
        </w:tc>
        <w:tc>
          <w:tcPr>
            <w:tcW w:type="dxa" w:w="1728"/>
          </w:tcPr>
          <w:p>
            <w:r>
              <w:t>79.13</w:t>
            </w:r>
          </w:p>
        </w:tc>
      </w:tr>
      <w:tr>
        <w:tc>
          <w:tcPr>
            <w:tcW w:type="dxa" w:w="1728"/>
          </w:tcPr>
          <w:p>
            <w:r>
              <w:t>RC03</w:t>
            </w:r>
          </w:p>
        </w:tc>
        <w:tc>
          <w:tcPr>
            <w:tcW w:type="dxa" w:w="1728"/>
          </w:tcPr>
          <w:p>
            <w:r>
              <w:t>JIPMER</w:t>
            </w:r>
          </w:p>
        </w:tc>
        <w:tc>
          <w:tcPr>
            <w:tcW w:type="dxa" w:w="1728"/>
          </w:tcPr>
          <w:p>
            <w:r>
              <w:t>Puducherry</w:t>
            </w:r>
          </w:p>
        </w:tc>
        <w:tc>
          <w:tcPr>
            <w:tcW w:type="dxa" w:w="1728"/>
          </w:tcPr>
          <w:p>
            <w:r>
              <w:t>11.95</w:t>
            </w:r>
          </w:p>
        </w:tc>
        <w:tc>
          <w:tcPr>
            <w:tcW w:type="dxa" w:w="1728"/>
          </w:tcPr>
          <w:p>
            <w:r>
              <w:t>79.81</w:t>
            </w:r>
          </w:p>
        </w:tc>
      </w:tr>
      <w:tr>
        <w:tc>
          <w:tcPr>
            <w:tcW w:type="dxa" w:w="1728"/>
          </w:tcPr>
          <w:p>
            <w:r>
              <w:t>RC04</w:t>
            </w:r>
          </w:p>
        </w:tc>
        <w:tc>
          <w:tcPr>
            <w:tcW w:type="dxa" w:w="1728"/>
          </w:tcPr>
          <w:p>
            <w:r>
              <w:t>PGIMER</w:t>
            </w:r>
          </w:p>
        </w:tc>
        <w:tc>
          <w:tcPr>
            <w:tcW w:type="dxa" w:w="1728"/>
          </w:tcPr>
          <w:p>
            <w:r>
              <w:t>Chandigarh</w:t>
            </w:r>
          </w:p>
        </w:tc>
        <w:tc>
          <w:tcPr>
            <w:tcW w:type="dxa" w:w="1728"/>
          </w:tcPr>
          <w:p>
            <w:r>
              <w:t>30.76</w:t>
            </w:r>
          </w:p>
        </w:tc>
        <w:tc>
          <w:tcPr>
            <w:tcW w:type="dxa" w:w="1728"/>
          </w:tcPr>
          <w:p>
            <w:r>
              <w:t>76.77</w:t>
            </w:r>
          </w:p>
        </w:tc>
      </w:tr>
      <w:tr>
        <w:tc>
          <w:tcPr>
            <w:tcW w:type="dxa" w:w="1728"/>
          </w:tcPr>
          <w:p>
            <w:r>
              <w:t>RC05</w:t>
            </w:r>
          </w:p>
        </w:tc>
        <w:tc>
          <w:tcPr>
            <w:tcW w:type="dxa" w:w="1728"/>
          </w:tcPr>
          <w:p>
            <w:r>
              <w:t>PD Hinduja</w:t>
            </w:r>
          </w:p>
        </w:tc>
        <w:tc>
          <w:tcPr>
            <w:tcW w:type="dxa" w:w="1728"/>
          </w:tcPr>
          <w:p>
            <w:r>
              <w:t>Mumbai</w:t>
            </w:r>
          </w:p>
        </w:tc>
        <w:tc>
          <w:tcPr>
            <w:tcW w:type="dxa" w:w="1728"/>
          </w:tcPr>
          <w:p>
            <w:r>
              <w:t>19.03</w:t>
            </w:r>
          </w:p>
        </w:tc>
        <w:tc>
          <w:tcPr>
            <w:tcW w:type="dxa" w:w="1728"/>
          </w:tcPr>
          <w:p>
            <w:r>
              <w:t>72.84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</w:tbl>
    <w:p>
      <w:r>
        <w:t>**Table S2: Carbapenem Resistance Rates (2017-2022) by Pathogen**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*E. coli* (Imipenem-R)</w:t>
            </w:r>
          </w:p>
        </w:tc>
        <w:tc>
          <w:tcPr>
            <w:tcW w:type="dxa" w:w="2880"/>
          </w:tcPr>
          <w:p>
            <w:r>
              <w:t>*K. pneumoniae* (Imipenem-R)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18.6%</w:t>
            </w:r>
          </w:p>
        </w:tc>
        <w:tc>
          <w:tcPr>
            <w:tcW w:type="dxa" w:w="2880"/>
          </w:tcPr>
          <w:p>
            <w:r>
              <w:t>41.5%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  <w:tc>
          <w:tcPr>
            <w:tcW w:type="dxa" w:w="2880"/>
          </w:tcPr>
          <w:p>
            <w:r>
              <w:t>49.0%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36.6%</w:t>
            </w:r>
          </w:p>
        </w:tc>
        <w:tc>
          <w:tcPr>
            <w:tcW w:type="dxa" w:w="2880"/>
          </w:tcPr>
          <w:p>
            <w:r>
              <w:t>54.0%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28.0%</w:t>
            </w:r>
          </w:p>
        </w:tc>
        <w:tc>
          <w:tcPr>
            <w:tcW w:type="dxa" w:w="2880"/>
          </w:tcPr>
          <w:p>
            <w:r>
              <w:t>51.0%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35.9%</w:t>
            </w:r>
          </w:p>
        </w:tc>
        <w:tc>
          <w:tcPr>
            <w:tcW w:type="dxa" w:w="2880"/>
          </w:tcPr>
          <w:p>
            <w:r>
              <w:t>57.0%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19.0%</w:t>
            </w:r>
          </w:p>
        </w:tc>
        <w:tc>
          <w:tcPr>
            <w:tcW w:type="dxa" w:w="2880"/>
          </w:tcPr>
          <w:p>
            <w:r>
              <w:t>75.0%</w:t>
            </w:r>
          </w:p>
        </w:tc>
      </w:tr>
    </w:tbl>
    <w:p>
      <w:r>
        <w:t>---</w:t>
      </w:r>
    </w:p>
    <w:p>
      <w:pPr>
        <w:pStyle w:val="Heading2"/>
      </w:pPr>
      <w:r>
        <w:t>S3. Additional Figures</w:t>
      </w:r>
    </w:p>
    <w:p>
      <w:r>
        <w:t>**Figure S1: Model Learning Curve**</w:t>
      </w:r>
    </w:p>
    <w:p>
      <w:r>
        <w:t>*(Description: The learning curve shows that the training error decreases rapidly and stabilization of the validation error occurs around 50 estimators, justifying our choice of n_estimators=100.)*</w:t>
      </w:r>
    </w:p>
    <w:p>
      <w:r>
        <w:t>**Figure S2: Temporal Correlation Matrix**</w:t>
      </w:r>
    </w:p>
    <w:p>
      <w:r>
        <w:t>*(Description: Heatmap showing the correlation between resistance rates of different pathogens. E. coli and K. pneumoniae resistance rates are highly correlated ($r=0.78$), suggesting shared selection pressures or plasmid transmission.)*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