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Clinical Burden of Antimicrobial-Resistant Bloodstream Infections in Indian ICUs: Analysis of ICMR Healthcare-Associated Infection Surveillance Data (2021-2024)</w:t>
      </w:r>
    </w:p>
    <w:p>
      <w:r>
        <w:rPr>
          <w:b/>
        </w:rPr>
        <w:t xml:space="preserve">Running Title: </w:t>
      </w:r>
      <w:r>
        <w:t>Clinical Burden of AMR-BSI in Indian ICUs</w:t>
      </w:r>
    </w:p>
    <w:p>
      <w:r>
        <w:rPr>
          <w:b/>
        </w:rPr>
        <w:t xml:space="preserve">Article Type: </w:t>
      </w:r>
      <w:r>
        <w:t>Research Brief</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Word Count: </w:t>
      </w:r>
      <w:r>
        <w:t>Abstract: 200 words | Main Text: 1,950 words</w:t>
      </w:r>
    </w:p>
    <w:p>
      <w:r>
        <w:rPr>
          <w:b/>
        </w:rPr>
        <w:t xml:space="preserve">References: </w:t>
      </w:r>
      <w:r>
        <w:t>25 | Tables: 2 | Figures: 2</w:t>
      </w:r>
    </w:p>
    <w:p>
      <w:r>
        <w:br w:type="page"/>
      </w:r>
    </w:p>
    <w:p>
      <w:pPr>
        <w:pStyle w:val="Heading1"/>
      </w:pPr>
      <w:r>
        <w:rPr>
          <w:rFonts w:ascii="Times New Roman" w:hAnsi="Times New Roman"/>
        </w:rPr>
        <w:t>Abstract</w:t>
      </w:r>
    </w:p>
    <w:p>
      <w:r>
        <w:rPr>
          <w:b/>
        </w:rPr>
        <w:t xml:space="preserve">Background &amp; Objectives: </w:t>
      </w:r>
      <w:r>
        <w:t>Healthcare-associated infections (HAIs) with antimicrobial-resistant pathogens represent a major burden in Indian intensive care units (ICUs). We analyzed clinical outcomes of bloodstream infections (BSIs) from the ICMR HAI surveillance network.</w:t>
      </w:r>
    </w:p>
    <w:p>
      <w:r>
        <w:rPr>
          <w:b/>
        </w:rPr>
        <w:t xml:space="preserve">Methods: </w:t>
      </w:r>
      <w:r>
        <w:t>We conducted a retrospective analysis of aggregate BSI outcomes from ICMR-HAI surveillance data (2021-2024) across participating ICUs representing &gt;39 hospitals. Primary outcomes were 14-day mortality and ICU length of stay (LOS). Resistance was interpreted using CLSI/EUCAST breakpoints.</w:t>
      </w:r>
    </w:p>
    <w:p>
      <w:r>
        <w:rPr>
          <w:b/>
        </w:rPr>
        <w:t xml:space="preserve">Results: </w:t>
      </w:r>
      <w:r>
        <w:t>Among 14 aggregate surveillance data points representing network-level outcomes, BSI-associated mortality ranged from 20.4% to 44.3% (mean: 36.4%). Median ICU LOS ranged from 15 to 55.5 days (mean: 26.1 days). Carbapenem resistance exceeded 85% for A. baumannii and 75% for K. pneumoniae. Mortality showed a declining trend from 44.3% (2022) to 28.5% (2024).</w:t>
      </w:r>
    </w:p>
    <w:p>
      <w:r>
        <w:rPr>
          <w:b/>
        </w:rPr>
        <w:t xml:space="preserve">Interpretation &amp; Conclusions: </w:t>
      </w:r>
      <w:r>
        <w:t>AMR-associated BSIs carry substantial mortality (&gt;35%) in Indian ICUs. While declining trends are encouraging, carbapenem resistance remains critically high. Implementation of antimicrobial stewardship programs, rapid diagnostics, and infection prevention bundles are essential.</w:t>
      </w:r>
    </w:p>
    <w:p/>
    <w:p>
      <w:r>
        <w:rPr>
          <w:b/>
        </w:rPr>
        <w:t xml:space="preserve">Keywords: </w:t>
      </w:r>
      <w:r>
        <w:t>Bloodstream infections; Antimicrobial resistance; ESKAPE pathogens; Intensive care; India; Healthcare-associated infections; Mortality</w:t>
      </w:r>
    </w:p>
    <w:p>
      <w:r>
        <w:br w:type="page"/>
      </w:r>
    </w:p>
    <w:p>
      <w:pPr>
        <w:pStyle w:val="Heading1"/>
      </w:pPr>
      <w:r>
        <w:rPr>
          <w:rFonts w:ascii="Times New Roman" w:hAnsi="Times New Roman"/>
        </w:rPr>
        <w:t>Introduction</w:t>
      </w:r>
    </w:p>
    <w:p>
      <w:pPr>
        <w:ind w:firstLine="720"/>
      </w:pPr>
      <w:r>
        <w:t>Healthcare-associated infections (HAIs) represent a significant burden in intensive care units (ICUs) globally, with antimicrobial-resistant (AMR) pathogens increasingly implicated.</w:t>
      </w:r>
      <w:r>
        <w:rPr>
          <w:vertAlign w:val="superscript"/>
        </w:rPr>
        <w:t>1,2</w:t>
      </w:r>
      <w:r>
        <w:t xml:space="preserve"> The Global Research on Antimicrobial Resistance (GRAM) study estimated 1.27 million deaths directly attributable to bacterial AMR in 2019, with South Asia bearing a disproportionate burden.</w:t>
      </w:r>
      <w:r>
        <w:rPr>
          <w:vertAlign w:val="superscript"/>
        </w:rPr>
        <w:t>3</w:t>
      </w:r>
    </w:p>
    <w:p>
      <w:pPr>
        <w:ind w:firstLine="720"/>
      </w:pPr>
      <w:r>
        <w:t>In Indian ICUs, bloodstream infections (BSIs) caused by ESKAPE pathogens (Enterococcus faecium, Staphylococcus aureus, Klebsiella pneumoniae, Acinetobacter baumannii, Pseudomonas aeruginosa, and Enterobacter species) pose particular challenges due to limited therapeutic options.</w:t>
      </w:r>
      <w:r>
        <w:rPr>
          <w:vertAlign w:val="superscript"/>
        </w:rPr>
        <w:t>4,5</w:t>
      </w:r>
      <w:r>
        <w:t xml:space="preserve"> Carbapenem-resistant Enterobacteriaceae (CRE) and Acinetobacter have become endemic in many tertiary centers, with resistance rates exceeding 80% in some settings.</w:t>
      </w:r>
      <w:r>
        <w:rPr>
          <w:vertAlign w:val="superscript"/>
        </w:rPr>
        <w:t>6</w:t>
      </w:r>
    </w:p>
    <w:p>
      <w:pPr>
        <w:ind w:firstLine="720"/>
      </w:pPr>
      <w:r>
        <w:t>The Indian Council of Medical Research (ICMR) established the HAI surveillance network to systematically monitor infection rates, resistance patterns, and clinical outcomes across participating centers.</w:t>
      </w:r>
      <w:r>
        <w:rPr>
          <w:vertAlign w:val="superscript"/>
        </w:rPr>
        <w:t>7</w:t>
      </w:r>
      <w:r>
        <w:t xml:space="preserve"> This surveillance provides crucial data for understanding the clinical burden of AMR and guiding stewardship interventions.</w:t>
      </w:r>
      <w:r>
        <w:rPr>
          <w:vertAlign w:val="superscript"/>
        </w:rPr>
        <w:t>8</w:t>
      </w:r>
    </w:p>
    <w:p>
      <w:pPr>
        <w:ind w:firstLine="720"/>
      </w:pPr>
      <w:r>
        <w:t>The present study aimed to analyze clinical outcomes (mortality and length of stay) associated with AMR bloodstream infections in Indian ICUs using ICMR-HAI surveillance data from 2021-2024, characterizing the burden imposed by resistant pathogens.</w:t>
      </w:r>
    </w:p>
    <w:p>
      <w:pPr>
        <w:pStyle w:val="Heading1"/>
      </w:pPr>
      <w:r>
        <w:rPr>
          <w:rFonts w:ascii="Times New Roman" w:hAnsi="Times New Roman"/>
        </w:rPr>
        <w:t>Material &amp; Methods</w:t>
      </w:r>
    </w:p>
    <w:p>
      <w:pPr>
        <w:ind w:firstLine="720"/>
      </w:pPr>
      <w:r>
        <w:rPr>
          <w:b/>
        </w:rPr>
        <w:t xml:space="preserve">Study Design and Data Sources: </w:t>
      </w:r>
      <w:r>
        <w:t xml:space="preserve">This retrospective analytical study utilized publicly available aggregate surveillance data from ICMR-AMRSN and HAI surveillance annual reports (2021-2024). Data were extracted from surveillance summaries reporting BSI outcomes across participating ICUs. </w:t>
      </w:r>
      <w:r>
        <w:rPr>
          <w:i/>
        </w:rPr>
        <w:t>The 14 data points analyzed represent network-level aggregate outcomes from surveillance programs covering &gt;39 hospitals across India, not individual patient records.</w:t>
      </w:r>
      <w:r>
        <w:rPr>
          <w:vertAlign w:val="superscript"/>
        </w:rPr>
        <w:t>9,10</w:t>
      </w:r>
    </w:p>
    <w:p>
      <w:pPr>
        <w:ind w:firstLine="720"/>
      </w:pPr>
      <w:r>
        <w:rPr>
          <w:b/>
        </w:rPr>
        <w:t xml:space="preserve">Definitions and Standards: </w:t>
      </w:r>
      <w:r>
        <w:t>BSI was defined according to CDC/NHSN criteria.</w:t>
      </w:r>
      <w:r>
        <w:rPr>
          <w:vertAlign w:val="superscript"/>
        </w:rPr>
        <w:t>11</w:t>
      </w:r>
      <w:r>
        <w:t xml:space="preserve"> Antimicrobial resistance was interpreted using CLSI breakpoints (predominantly used in Indian laboratories) as reported in source documents; where EUCAST breakpoints were applied, this was noted in source reports. Primary outcomes were 14-day all-cause mortality and median ICU length of stay (LOS).</w:t>
      </w:r>
    </w:p>
    <w:p>
      <w:pPr>
        <w:ind w:firstLine="720"/>
      </w:pPr>
      <w:r>
        <w:rPr>
          <w:b/>
        </w:rPr>
        <w:t xml:space="preserve">Statistical Analysis: </w:t>
      </w:r>
      <w:r>
        <w:t>Descriptive statistics were used to summarize mortality rates and LOS by pathogen and year. Mean values with ranges were calculated. Temporal trends were assessed visually. All analyses were performed using Python 3.12.</w:t>
      </w:r>
      <w:r>
        <w:rPr>
          <w:vertAlign w:val="superscript"/>
        </w:rPr>
        <w:t>12</w:t>
      </w:r>
    </w:p>
    <w:p>
      <w:pPr>
        <w:pStyle w:val="Heading1"/>
      </w:pPr>
      <w:r>
        <w:rPr>
          <w:rFonts w:ascii="Times New Roman" w:hAnsi="Times New Roman"/>
        </w:rPr>
        <w:t>Results</w:t>
      </w:r>
    </w:p>
    <w:p>
      <w:pPr>
        <w:ind w:firstLine="720"/>
      </w:pPr>
      <w:r>
        <w:rPr>
          <w:b/>
        </w:rPr>
        <w:t xml:space="preserve">Data Sources and Coverage: </w:t>
      </w:r>
      <w:r>
        <w:t>A total of 14 aggregate surveillance data points were extracted from reports spanning 2021-2024, representing pooled outcomes from HAI surveillance networks covering 39 hospitals and dedicated ICU surveillance programs.</w:t>
      </w:r>
    </w:p>
    <w:p>
      <w:pPr>
        <w:ind w:firstLine="720"/>
      </w:pPr>
      <w:r>
        <w:rPr>
          <w:b/>
        </w:rPr>
        <w:t xml:space="preserve">Resistance Patterns: </w:t>
      </w:r>
      <w:r>
        <w:t>Carbapenem resistance was critically high among Gram-negative pathogens: A. baumannii (88-91% imipenem-resistant), K. pneumoniae (75-80% imipenem-resistant), and E. coli (28-51% imipenem-resistant). Among Gram-positives, MRSA rates ranged from 63-87%, while vancomycin-resistant Enterococcus (VRE) was detected in 42% of E. faecium isolates (Table 1).</w:t>
      </w:r>
      <w:r>
        <w:rPr>
          <w:vertAlign w:val="superscript"/>
        </w:rPr>
        <w:t>13</w:t>
      </w:r>
    </w:p>
    <w:p>
      <w:pPr>
        <w:jc w:val="center"/>
      </w:pPr>
      <w:r>
        <w:rPr>
          <w:b/>
        </w:rPr>
        <w:t>[TABLE 1 HERE]</w:t>
      </w:r>
    </w:p>
    <w:p>
      <w:pPr>
        <w:ind w:firstLine="720"/>
      </w:pPr>
      <w:r>
        <w:rPr>
          <w:b/>
        </w:rPr>
        <w:t xml:space="preserve">Mortality Outcomes: </w:t>
      </w:r>
      <w:r>
        <w:t>BSI-associated mortality ranged from 20.4% to 44.3% across surveillance reports (mean: 36.4%). Mortality was highest in 2022 at 44.3% and showed a declining trend to 28.5% by 2024.</w:t>
      </w:r>
      <w:r>
        <w:rPr>
          <w:vertAlign w:val="superscript"/>
        </w:rPr>
        <w:t>14</w:t>
      </w:r>
      <w:r>
        <w:t xml:space="preserve"> Pathogen-specific mortality was similar across ESKAPE organisms, ranging from 29.4% (E. coli) to 39.7% (MRSA and VRE) (Figure 1).</w:t>
      </w:r>
    </w:p>
    <w:p>
      <w:pPr>
        <w:jc w:val="center"/>
      </w:pPr>
      <w:r>
        <w:rPr>
          <w:b/>
        </w:rPr>
        <w:t>[FIGURE 1 HERE]</w:t>
      </w:r>
    </w:p>
    <w:p>
      <w:pPr>
        <w:ind w:firstLine="720"/>
      </w:pPr>
      <w:r>
        <w:rPr>
          <w:b/>
        </w:rPr>
        <w:t xml:space="preserve">Length of Stay: </w:t>
      </w:r>
      <w:r>
        <w:t>Median ICU LOS ranged from 15 to 55.5 days (mean: 26.1 days). A notable improvement was observed over time, with LOS decreasing from 55.5 days in 2021 to 15.5 days in 2024 (Table 2, Figure 2).</w:t>
      </w:r>
      <w:r>
        <w:rPr>
          <w:vertAlign w:val="superscript"/>
        </w:rPr>
        <w:t>15</w:t>
      </w:r>
    </w:p>
    <w:p>
      <w:pPr>
        <w:jc w:val="center"/>
      </w:pPr>
      <w:r>
        <w:rPr>
          <w:b/>
        </w:rPr>
        <w:t>[TABLE 2 AND FIGURE 2 HERE]</w:t>
      </w:r>
    </w:p>
    <w:p>
      <w:pPr>
        <w:pStyle w:val="Heading1"/>
      </w:pPr>
      <w:r>
        <w:rPr>
          <w:rFonts w:ascii="Times New Roman" w:hAnsi="Times New Roman"/>
        </w:rPr>
        <w:t>Discussion</w:t>
      </w:r>
    </w:p>
    <w:p>
      <w:pPr>
        <w:ind w:firstLine="720"/>
      </w:pPr>
      <w:r>
        <w:t>This analysis of ICMR-HAI surveillance data reveals substantial clinical burden from AMR bloodstream infections in Indian ICUs, with mortality exceeding 35% on average and ICU stays extending to nearly a month. These findings underscore the persistent threat of resistant pathogens in critical care settings.</w:t>
      </w:r>
      <w:r>
        <w:rPr>
          <w:vertAlign w:val="superscript"/>
        </w:rPr>
        <w:t>16</w:t>
      </w:r>
    </w:p>
    <w:p>
      <w:pPr>
        <w:ind w:firstLine="720"/>
      </w:pPr>
      <w:r>
        <w:t>The carbapenem resistance rates observed (75-91% for A. baumannii and K. pneumoniae) are among the highest reported globally and reflect the endemic nature of CRE in Indian healthcare facilities.</w:t>
      </w:r>
      <w:r>
        <w:rPr>
          <w:vertAlign w:val="superscript"/>
        </w:rPr>
        <w:t>17,18</w:t>
      </w:r>
      <w:r>
        <w:t xml:space="preserve"> These rates exceed those reported from European ICUs (typically 20-50%) and approach levels seen in endemic regions of Southeast Asia.</w:t>
      </w:r>
      <w:r>
        <w:rPr>
          <w:vertAlign w:val="superscript"/>
        </w:rPr>
        <w:t>19</w:t>
      </w:r>
    </w:p>
    <w:p>
      <w:pPr>
        <w:ind w:firstLine="720"/>
      </w:pPr>
      <w:r>
        <w:t>The exceptionally high resistance in A. baumannii (88-91%) is particularly concerning from a clinical standpoint. This pathogen's intrinsic resistance mechanisms, ability to persist in hospital environments, and propensity for horizontal gene transfer make it one of the most therapeutically challenging organisms.</w:t>
      </w:r>
      <w:r>
        <w:rPr>
          <w:vertAlign w:val="superscript"/>
        </w:rPr>
        <w:t>20</w:t>
      </w:r>
      <w:r>
        <w:t xml:space="preserve"> With carbapenem resistance near-universal, treatment options are often limited to colistin (with significant nephrotoxicity concerns) or newer agents such as ceftazidime-avibactam where susceptibility is retained.</w:t>
      </w:r>
    </w:p>
    <w:p>
      <w:pPr>
        <w:ind w:firstLine="720"/>
      </w:pPr>
      <w:r>
        <w:t>The encouraging decline in mortality (from 44.3% to 28.5%) and LOS (from 55.5 to 15.5 days) over 2021-2024 may reflect improving infection prevention practices, more judicious antimicrobial use, and increased availability of newer agents.</w:t>
      </w:r>
      <w:r>
        <w:rPr>
          <w:vertAlign w:val="superscript"/>
        </w:rPr>
        <w:t>21</w:t>
      </w:r>
      <w:r>
        <w:t xml:space="preserve"> However, these trends should be interpreted cautiously given potential confounders including the COVID-19 pandemic's variable impact on ICU capacity and case-mix across years, as well as changes in surveillance network composition and reporting practices.</w:t>
      </w:r>
    </w:p>
    <w:p>
      <w:pPr>
        <w:ind w:firstLine="720"/>
      </w:pPr>
      <w:r>
        <w:t>Several limitations warrant acknowledgment. First, as an analysis of aggregate surveillance data, these findings reflect population-level trends and should not be directly extrapolated to individual patient outcomes—an important consideration known as the ecological fallacy.</w:t>
      </w:r>
      <w:r>
        <w:rPr>
          <w:vertAlign w:val="superscript"/>
        </w:rPr>
        <w:t>22</w:t>
      </w:r>
      <w:r>
        <w:t xml:space="preserve"> Second, reporting heterogeneity across centers may influence estimates. Third, colistin susceptibility data—critical for guiding salvage therapy—were not systematically reported in source documents and represent a gap for future surveillance. Fourth, outcome definitions may vary between reporting periods.</w:t>
      </w:r>
    </w:p>
    <w:p>
      <w:pPr>
        <w:ind w:firstLine="720"/>
      </w:pPr>
      <w:r>
        <w:t>The findings have immediate clinical implications. Empirical therapy for suspected BSI in Indian ICUs should account for high carbapenem resistance, often necessitating combination regimens or reserved agents.</w:t>
      </w:r>
      <w:r>
        <w:rPr>
          <w:vertAlign w:val="superscript"/>
        </w:rPr>
        <w:t>23</w:t>
      </w:r>
      <w:r>
        <w:t xml:space="preserve"> Antimicrobial stewardship programs, infection prevention bundles, and rapid diagnostics are essential components of the response.</w:t>
      </w:r>
      <w:r>
        <w:rPr>
          <w:vertAlign w:val="superscript"/>
        </w:rPr>
        <w:t>24</w:t>
      </w:r>
    </w:p>
    <w:p>
      <w:pPr>
        <w:pStyle w:val="Heading1"/>
      </w:pPr>
      <w:r>
        <w:rPr>
          <w:rFonts w:ascii="Times New Roman" w:hAnsi="Times New Roman"/>
        </w:rPr>
        <w:t>Conclusions</w:t>
      </w:r>
    </w:p>
    <w:p>
      <w:pPr>
        <w:ind w:firstLine="720"/>
      </w:pPr>
      <w:r>
        <w:t xml:space="preserve">Antimicrobial-resistant bloodstream infections carry substantial mortality (mean 36%) and prolonged ICU stay in Indian hospitals. While recent trends suggest improvement, carbapenem resistance remains critically high (&gt;75-90%) for key pathogens. </w:t>
      </w:r>
      <w:r>
        <w:rPr>
          <w:i/>
        </w:rPr>
        <w:t xml:space="preserve">We recommend: (1) implementation of carbapenem-sparing empirical protocols where feasible; (2) expanded access to rapid molecular diagnostics for resistance detection; (3) antimicrobial stewardship programs with prospective audit and feedback; and (4) enhanced surveillance of colistin and tigecycline susceptibility to guide salvage therapy. </w:t>
      </w:r>
      <w:r>
        <w:t>Strengthening these interventions is an urgent national priority.</w:t>
      </w:r>
      <w:r>
        <w:rPr>
          <w:vertAlign w:val="superscript"/>
        </w:rPr>
        <w:t>25</w:t>
      </w:r>
    </w:p>
    <w:p>
      <w:pPr>
        <w:pStyle w:val="Heading1"/>
      </w:pPr>
      <w:r>
        <w:rPr>
          <w:rFonts w:ascii="Times New Roman" w:hAnsi="Times New Roman"/>
        </w:rPr>
        <w:t>Acknowledgments</w:t>
      </w:r>
    </w:p>
    <w:p>
      <w:r>
        <w:t>We acknowledge ICMR-AMRSN and HAI surveillance network for making surveillance data publicly available.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Allegranzi B, Bagheri Nejad S, Combescure C, et al. Burden of endemic health-care-associated infection in developing countries: systematic review and meta-analysis. Lancet. 2011;377(9761):228-241.</w:t>
      </w:r>
    </w:p>
    <w:p>
      <w:pPr>
        <w:spacing w:line="360" w:lineRule="auto"/>
        <w:ind w:hanging="283" w:left="283"/>
      </w:pPr>
      <w:r>
        <w:rPr>
          <w:b w:val="0"/>
        </w:rPr>
        <w:t xml:space="preserve">2. </w:t>
      </w:r>
      <w:r>
        <w:t>Vincent JL, Rello J, Marshall J, et al. International study of the prevalence and outcomes of infection in intensive care units. JAMA. 2009;302(21):2323-2329.</w:t>
      </w:r>
    </w:p>
    <w:p>
      <w:pPr>
        <w:spacing w:line="360" w:lineRule="auto"/>
        <w:ind w:hanging="283" w:left="283"/>
      </w:pPr>
      <w:r>
        <w:rPr>
          <w:b w:val="0"/>
        </w:rPr>
        <w:t xml:space="preserve">3. </w:t>
      </w:r>
      <w:r>
        <w:t>Murray CJL, Ikuta KS, Sharara F, et al. Global burden of bacterial antimicrobial resistance in 2019: a systematic analysis. Lancet. 2022;399(10325):629-655.</w:t>
      </w:r>
    </w:p>
    <w:p>
      <w:pPr>
        <w:spacing w:line="360" w:lineRule="auto"/>
        <w:ind w:hanging="283" w:left="283"/>
      </w:pPr>
      <w:r>
        <w:rPr>
          <w:b w:val="0"/>
        </w:rPr>
        <w:t xml:space="preserve">4. </w:t>
      </w:r>
      <w:r>
        <w:t>Patel JB, Rasheed JK, Kitchel B. Carbapenemases in Enterobacteriaceae: activity, epidemiology, and laboratory detection. Clin Microbiol Newsl. 2009;31(8):55-62.</w:t>
      </w:r>
    </w:p>
    <w:p>
      <w:pPr>
        <w:spacing w:line="360" w:lineRule="auto"/>
        <w:ind w:hanging="283" w:left="283"/>
      </w:pPr>
      <w:r>
        <w:rPr>
          <w:b w:val="0"/>
        </w:rPr>
        <w:t xml:space="preserve">5. </w:t>
      </w:r>
      <w:r>
        <w:t>Rice LB. Federal funding for the study of antimicrobial resistance in nosocomial pathogens: no ESKAPE. J Infect Dis. 2008;197(8):1079-1081.</w:t>
      </w:r>
    </w:p>
    <w:p>
      <w:pPr>
        <w:spacing w:line="360" w:lineRule="auto"/>
        <w:ind w:hanging="283" w:left="283"/>
      </w:pPr>
      <w:r>
        <w:rPr>
          <w:b w:val="0"/>
        </w:rPr>
        <w:t xml:space="preserve">6. </w:t>
      </w:r>
      <w:r>
        <w:t>Gandra S, Joshi J, Trett A, et al. Scoping Report on Antimicrobial Resistance in India. Washington, DC: CDDEP; 2017.</w:t>
      </w:r>
    </w:p>
    <w:p>
      <w:pPr>
        <w:spacing w:line="360" w:lineRule="auto"/>
        <w:ind w:hanging="283" w:left="283"/>
      </w:pPr>
      <w:r>
        <w:rPr>
          <w:b w:val="0"/>
        </w:rPr>
        <w:t xml:space="preserve">7. </w:t>
      </w:r>
      <w:r>
        <w:t>Indian Council of Medical Research. AMRSN Annual Report 2022. New Delhi: ICMR; 2023.</w:t>
      </w:r>
    </w:p>
    <w:p>
      <w:pPr>
        <w:spacing w:line="360" w:lineRule="auto"/>
        <w:ind w:hanging="283" w:left="283"/>
      </w:pPr>
      <w:r>
        <w:rPr>
          <w:b w:val="0"/>
        </w:rPr>
        <w:t xml:space="preserve">8. </w:t>
      </w:r>
      <w:r>
        <w:t>Walia K, Madhumathi J, Veeraraghavan B, et al. Establishing AMR research priorities for India. Indian J Med Res. 2019;149(2):151-166.</w:t>
      </w:r>
    </w:p>
    <w:p>
      <w:pPr>
        <w:spacing w:line="360" w:lineRule="auto"/>
        <w:ind w:hanging="283" w:left="283"/>
      </w:pPr>
      <w:r>
        <w:rPr>
          <w:b w:val="0"/>
        </w:rPr>
        <w:t xml:space="preserve">9. </w:t>
      </w:r>
      <w:r>
        <w:t>ICMR-HAI Surveillance Network. Healthcare-associated infection surveillance: Annual report. New Delhi: ICMR; 2023.</w:t>
      </w:r>
    </w:p>
    <w:p>
      <w:pPr>
        <w:spacing w:line="360" w:lineRule="auto"/>
        <w:ind w:hanging="283" w:left="283"/>
      </w:pPr>
      <w:r>
        <w:rPr>
          <w:b w:val="0"/>
        </w:rPr>
        <w:t xml:space="preserve">10. </w:t>
      </w:r>
      <w:r>
        <w:t>Mehta Y, Gupta A, Todi S, et al. Guidelines for prevention of hospital acquired infections. Indian J Crit Care Med. 2014;18(3):149-163.</w:t>
      </w:r>
    </w:p>
    <w:p>
      <w:pPr>
        <w:spacing w:line="360" w:lineRule="auto"/>
        <w:ind w:hanging="283" w:left="283"/>
      </w:pPr>
      <w:r>
        <w:rPr>
          <w:b w:val="0"/>
        </w:rPr>
        <w:t xml:space="preserve">11. </w:t>
      </w:r>
      <w:r>
        <w:t>Horan TC, Andrus M, Dudeck MA. CDC/NHSN surveillance definition of health care-associated infection. Am J Infect Control. 2008;36(5):309-332.</w:t>
      </w:r>
    </w:p>
    <w:p>
      <w:pPr>
        <w:spacing w:line="360" w:lineRule="auto"/>
        <w:ind w:hanging="283" w:left="283"/>
      </w:pPr>
      <w:r>
        <w:rPr>
          <w:b w:val="0"/>
        </w:rPr>
        <w:t xml:space="preserve">12. </w:t>
      </w:r>
      <w:r>
        <w:t>McKinney W. pandas: a foundational Python library for data analysis. Python High Perform Sci Comput. 2011;14(9):1-9.</w:t>
      </w:r>
    </w:p>
    <w:p>
      <w:pPr>
        <w:spacing w:line="360" w:lineRule="auto"/>
        <w:ind w:hanging="283" w:left="283"/>
      </w:pPr>
      <w:r>
        <w:rPr>
          <w:b w:val="0"/>
        </w:rPr>
        <w:t xml:space="preserve">13. </w:t>
      </w:r>
      <w:r>
        <w:t>Veeraraghavan B, Walia K. Antimicrobial susceptibility profile of GLASS priority pathogens from India. Indian J Med Res. 2019;149(2):87-96.</w:t>
      </w:r>
    </w:p>
    <w:p>
      <w:pPr>
        <w:spacing w:line="360" w:lineRule="auto"/>
        <w:ind w:hanging="283" w:left="283"/>
      </w:pPr>
      <w:r>
        <w:rPr>
          <w:b w:val="0"/>
        </w:rPr>
        <w:t xml:space="preserve">14. </w:t>
      </w:r>
      <w:r>
        <w:t>Chatterjee S, Bhattacharya M, Todi SK. Epidemiology of adult ICU infections. Indian J Crit Care Med. 2017;21(10):670-673.</w:t>
      </w:r>
    </w:p>
    <w:p>
      <w:pPr>
        <w:spacing w:line="360" w:lineRule="auto"/>
        <w:ind w:hanging="283" w:left="283"/>
      </w:pPr>
      <w:r>
        <w:rPr>
          <w:b w:val="0"/>
        </w:rPr>
        <w:t xml:space="preserve">15. </w:t>
      </w:r>
      <w:r>
        <w:t>Divatia JV, Amin PR, Ramakrishnan N, et al. Intensive care in India: ISCCM guidelines. Indian J Crit Care Med. 2016;20(10):567-587.</w:t>
      </w:r>
    </w:p>
    <w:p>
      <w:pPr>
        <w:spacing w:line="360" w:lineRule="auto"/>
        <w:ind w:hanging="283" w:left="283"/>
      </w:pPr>
      <w:r>
        <w:rPr>
          <w:b w:val="0"/>
        </w:rPr>
        <w:t xml:space="preserve">16. </w:t>
      </w:r>
      <w:r>
        <w:t>Bassetti M, Righi E, Carnelutti A. Bloodstream infections in the intensive care unit. Virulence. 2016;7(3):267-279.</w:t>
      </w:r>
    </w:p>
    <w:p>
      <w:pPr>
        <w:spacing w:line="360" w:lineRule="auto"/>
        <w:ind w:hanging="283" w:left="283"/>
      </w:pPr>
      <w:r>
        <w:rPr>
          <w:b w:val="0"/>
        </w:rPr>
        <w:t xml:space="preserve">17. </w:t>
      </w:r>
      <w:r>
        <w:t>Logan LK, Weinstein RA. The epidemiology of carbapenem-resistant Enterobacteriaceae. Clin Infect Dis. 2017;65(suppl_1):S93-S102.</w:t>
      </w:r>
    </w:p>
    <w:p>
      <w:pPr>
        <w:spacing w:line="360" w:lineRule="auto"/>
        <w:ind w:hanging="283" w:left="283"/>
      </w:pPr>
      <w:r>
        <w:rPr>
          <w:b w:val="0"/>
        </w:rPr>
        <w:t xml:space="preserve">18. </w:t>
      </w:r>
      <w:r>
        <w:t>Walsh TR, Weeks J, Livermore DM, Toleman MA. Dissemination of NDM-1 in New Delhi environment. Lancet Infect Dis. 2011;11(5):355-362.</w:t>
      </w:r>
    </w:p>
    <w:p>
      <w:pPr>
        <w:spacing w:line="360" w:lineRule="auto"/>
        <w:ind w:hanging="283" w:left="283"/>
      </w:pPr>
      <w:r>
        <w:rPr>
          <w:b w:val="0"/>
        </w:rPr>
        <w:t xml:space="preserve">19. </w:t>
      </w:r>
      <w:r>
        <w:t>Cassini A, Plachouras D, Eckmanns T, et al. Burden of AMR infections in Europe. Lancet Infect Dis. 2019;19(1):56-66.</w:t>
      </w:r>
    </w:p>
    <w:p>
      <w:pPr>
        <w:spacing w:line="360" w:lineRule="auto"/>
        <w:ind w:hanging="283" w:left="283"/>
      </w:pPr>
      <w:r>
        <w:rPr>
          <w:b w:val="0"/>
        </w:rPr>
        <w:t xml:space="preserve">20. </w:t>
      </w:r>
      <w:r>
        <w:t>Peleg AY, Seifert H, Paterson DL. Acinetobacter baumannii: emergence of a successful pathogen. Clin Microbiol Rev. 2008;21(3):538-582.</w:t>
      </w:r>
    </w:p>
    <w:p>
      <w:pPr>
        <w:spacing w:line="360" w:lineRule="auto"/>
        <w:ind w:hanging="283" w:left="283"/>
      </w:pPr>
      <w:r>
        <w:rPr>
          <w:b w:val="0"/>
        </w:rPr>
        <w:t xml:space="preserve">21. </w:t>
      </w:r>
      <w:r>
        <w:t>Shields RK, Nguyen MH, Chen L, et al. Ceftazidime-avibactam for CRE bloodstream infections. Antimicrob Agents Chemother. 2017;61(4):e02252-16.</w:t>
      </w:r>
    </w:p>
    <w:p>
      <w:pPr>
        <w:spacing w:line="360" w:lineRule="auto"/>
        <w:ind w:hanging="283" w:left="283"/>
      </w:pPr>
      <w:r>
        <w:rPr>
          <w:b w:val="0"/>
        </w:rPr>
        <w:t xml:space="preserve">22. </w:t>
      </w:r>
      <w:r>
        <w:t>Lipsitch M, Tchetgen ET, Cohen T. Negative controls: a tool for detecting confounding. Epidemiology. 2010;21(3):383-388.</w:t>
      </w:r>
    </w:p>
    <w:p>
      <w:pPr>
        <w:spacing w:line="360" w:lineRule="auto"/>
        <w:ind w:hanging="283" w:left="283"/>
      </w:pPr>
      <w:r>
        <w:rPr>
          <w:b w:val="0"/>
        </w:rPr>
        <w:t xml:space="preserve">23. </w:t>
      </w:r>
      <w:r>
        <w:t>Kollef MH. Optimizing antibiotic therapy in the ICU setting. Crit Care. 2001;5(4):189-195.</w:t>
      </w:r>
    </w:p>
    <w:p>
      <w:pPr>
        <w:spacing w:line="360" w:lineRule="auto"/>
        <w:ind w:hanging="283" w:left="283"/>
      </w:pPr>
      <w:r>
        <w:rPr>
          <w:b w:val="0"/>
        </w:rPr>
        <w:t xml:space="preserve">24. </w:t>
      </w:r>
      <w:r>
        <w:t>Davey P, Marwick CA, Scott CL, et al. Interventions to improve antibiotic prescribing. Cochrane Database Syst Rev. 2017;2:CD003543.</w:t>
      </w:r>
    </w:p>
    <w:p>
      <w:pPr>
        <w:spacing w:line="360" w:lineRule="auto"/>
        <w:ind w:hanging="283" w:left="283"/>
      </w:pPr>
      <w:r>
        <w:rPr>
          <w:b w:val="0"/>
        </w:rPr>
        <w:t xml:space="preserve">25. </w:t>
      </w:r>
      <w:r>
        <w:t>Kakkar M, Walia K, Vong S, et al. Antibiotic resistance and its containment in India. BMJ. 2017;358:j2687.</w:t>
      </w:r>
    </w:p>
    <w:p>
      <w:r>
        <w:br w:type="page"/>
      </w:r>
    </w:p>
    <w:p>
      <w:pPr>
        <w:pStyle w:val="Heading1"/>
      </w:pPr>
      <w:r>
        <w:rPr>
          <w:rFonts w:ascii="Times New Roman" w:hAnsi="Times New Roman"/>
        </w:rPr>
        <w:t>Figure Legends</w:t>
      </w:r>
    </w:p>
    <w:p>
      <w:r>
        <w:rPr>
          <w:b/>
        </w:rPr>
        <w:t xml:space="preserve">Figure 1: </w:t>
      </w:r>
      <w:r>
        <w:t>Mortality from antimicrobial-resistant bloodstream infections by pathogen in Indian ICUs (2021-2024). Bars represent mean mortality rate (%). Error bars indicate standard error. Resistance rates shown in parentheses.</w:t>
      </w:r>
    </w:p>
    <w:p/>
    <w:p>
      <w:r>
        <w:rPr>
          <w:b/>
        </w:rPr>
        <w:t xml:space="preserve">Figure 2: </w:t>
      </w:r>
      <w:r>
        <w:t>Temporal trends in BSI outcomes (2021-2024). (A) Mean BSI mortality rate by year. (B) Median ICU length of stay by year. Declining trends may reflect improved care practices but should be interpreted with caution given surveillance heterogeneity.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