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C41E1F" w14:textId="77777777" w:rsidR="00F8641A" w:rsidRDefault="00000000">
      <w:pPr>
        <w:pStyle w:val="TitleStyle"/>
      </w:pPr>
      <w:r>
        <w:t>Comprehensive Analysis of Acute Gastroenteritis and Diarrheal Diseases in In-Patient Department</w:t>
      </w:r>
    </w:p>
    <w:p w14:paraId="49C4786F" w14:textId="77777777" w:rsidR="00F8641A" w:rsidRDefault="00000000">
      <w:pPr>
        <w:pStyle w:val="NormalStyle"/>
        <w:jc w:val="center"/>
      </w:pPr>
      <w:r>
        <w:t>Corresponding Author:</w:t>
      </w:r>
      <w:r>
        <w:br/>
        <w:t>Department of Community Medicine</w:t>
      </w:r>
      <w:r>
        <w:br/>
        <w:t>Shridevi Institute of Medical Sciences and Research Hospital, Tumkur</w:t>
      </w:r>
      <w:r>
        <w:br/>
        <w:t>Email: research@shridevihospital.edu.in</w:t>
      </w:r>
      <w:r>
        <w:br/>
        <w:t>Phone: +91-9876543210</w:t>
      </w:r>
    </w:p>
    <w:p w14:paraId="114D06C1" w14:textId="77777777" w:rsidR="00F8641A" w:rsidRDefault="00000000">
      <w:r>
        <w:br w:type="page"/>
      </w:r>
    </w:p>
    <w:p w14:paraId="5308D814" w14:textId="77777777" w:rsidR="00F8641A" w:rsidRDefault="00000000">
      <w:pPr>
        <w:pStyle w:val="Heading1Style"/>
      </w:pPr>
      <w:r>
        <w:lastRenderedPageBreak/>
        <w:t>ABSTRACT</w:t>
      </w:r>
    </w:p>
    <w:p w14:paraId="1556596D" w14:textId="77777777" w:rsidR="00F8641A" w:rsidRDefault="00000000">
      <w:pPr>
        <w:pStyle w:val="NormalStyle"/>
      </w:pPr>
      <w:r>
        <w:t>**Background:** Acute gastroenteritis and diarrheal diseases represent major public health concerns globally, particularly in developing countries. This comprehensive study examines the burden of acute gastroenteritis and acute diarrheal disease (ADD) cases in SIMSRH's In-Patient Department using advanced search methodologies to characterize epidemiological patterns and clinical management.</w:t>
      </w:r>
    </w:p>
    <w:p w14:paraId="2CB15C20" w14:textId="77777777" w:rsidR="00F8641A" w:rsidRDefault="00000000">
      <w:pPr>
        <w:pStyle w:val="NormalStyle"/>
      </w:pPr>
      <w:r>
        <w:t>**Methods:** A retrospective observational study was conducted analyzing IPD admission data from August 1 to November 12, 2025. Cases were identified using comprehensive search strategies with partial string matching for gastroenteritis-related terms including acute gastroenteritis, diarrhea, dysentery, cholera, food poisoning, vomiting, dehydration, and other gastrointestinal conditions embedded within diagnosis descriptions. Demographic variables, clinical patterns, departmental utilization, and temporal trends were analyzed.</w:t>
      </w:r>
    </w:p>
    <w:p w14:paraId="2B2813F0" w14:textId="77777777" w:rsidR="00F8641A" w:rsidRDefault="00000000">
      <w:pPr>
        <w:pStyle w:val="NormalStyle"/>
      </w:pPr>
      <w:r>
        <w:t>**Results:** Among 1,366 total IPD admissions during the study period, 134 cases (9.8%) were identified as gastroenteritis or ADD using comprehensive search methodologies. The mean age was 45.7 ± 21.6 years with a median of 47.0 years. Males comprised 54.5% of cases. The most common diagnoses included various forms of gastroenteritis and diarrheal conditions. Most cases were managed in General Medicine (85.1%) with a mean length of stay of 3.2 days. Age group analysis revealed disproportionate representation of middle-aged and elderly adults among hospitalized cases.</w:t>
      </w:r>
    </w:p>
    <w:p w14:paraId="3B91AFA3" w14:textId="77777777" w:rsidR="00F8641A" w:rsidRDefault="00000000">
      <w:pPr>
        <w:pStyle w:val="NormalStyle"/>
      </w:pPr>
      <w:r>
        <w:t>**Conclusions:** Gastroenteritis and ADD represent a significant burden in SIMSRH's IPD, accounting for nearly 10% of admissions. The comprehensive search methodology revealed substantial under-recognition when using limited search terms. The findings highlight the importance of inpatient management for severe cases and suggest opportunities for improved prevention strategies, particularly targeting vulnerable adult populations.</w:t>
      </w:r>
    </w:p>
    <w:p w14:paraId="5F0BC4B3" w14:textId="77777777" w:rsidR="00F8641A" w:rsidRDefault="00000000">
      <w:pPr>
        <w:pStyle w:val="NormalStyle"/>
      </w:pPr>
      <w:r>
        <w:t>**Keywords:** Gastroenteritis, acute diarrheal disease, inpatient department, SIMSRH, South India, comprehensive search methodology</w:t>
      </w:r>
    </w:p>
    <w:p w14:paraId="6185E19D" w14:textId="77777777" w:rsidR="00F8641A" w:rsidRDefault="00000000">
      <w:r>
        <w:br w:type="page"/>
      </w:r>
    </w:p>
    <w:p w14:paraId="682D3506" w14:textId="77777777" w:rsidR="00F8641A" w:rsidRDefault="00000000">
      <w:pPr>
        <w:pStyle w:val="Heading1Style"/>
      </w:pPr>
      <w:r>
        <w:lastRenderedPageBreak/>
        <w:t>INTRODUCTION</w:t>
      </w:r>
    </w:p>
    <w:p w14:paraId="29582416" w14:textId="77777777" w:rsidR="00F8641A" w:rsidRDefault="00000000">
      <w:pPr>
        <w:pStyle w:val="Heading2Style"/>
      </w:pPr>
      <w:r>
        <w:t>Global Burden of Gastroenteritis</w:t>
      </w:r>
    </w:p>
    <w:p w14:paraId="356D31F7" w14:textId="77777777" w:rsidR="00F8641A" w:rsidRDefault="00000000">
      <w:pPr>
        <w:pStyle w:val="NormalStyle"/>
      </w:pPr>
      <w:r>
        <w:t>Acute gastroenteritis (AGE) and acute diarrheal disease (ADD) remain significant global public health concerns, contributing substantially to morbidity, mortality, and healthcare resource utilization worldwide. According to the World Health Organization (WHO), diarrheal diseases account for approximately 1.7 million deaths annually, with the majority occurring in low- and middle-income countries [1]. The global burden is particularly pronounced in developing regions where inadequate sanitation, limited access to clean water, and suboptimal healthcare infrastructure contribute to higher incidence and severity of gastroenteritis cases [2].</w:t>
      </w:r>
    </w:p>
    <w:p w14:paraId="39229FA1" w14:textId="77777777" w:rsidR="00F8641A" w:rsidRDefault="00000000">
      <w:pPr>
        <w:pStyle w:val="NormalStyle"/>
      </w:pPr>
      <w:r>
        <w:t>In India, AGE and ADD contribute to significant healthcare burden, with an estimated 1.7 million cases of acute gastroenteritis reported annually, leading to substantial economic impact and healthcare resource utilization [3]. The burden extends beyond direct medical costs to include productivity losses, caregiver burden, and long-term health consequences in vulnerable populations. While most gastroenteritis cases are self-limiting and managed in outpatient settings, a significant proportion requires hospitalization due to severe dehydration, electrolyte imbalances, comorbidities, or complications requiring intensive management [4].</w:t>
      </w:r>
    </w:p>
    <w:p w14:paraId="0052C799" w14:textId="77777777" w:rsidR="00F8641A" w:rsidRDefault="00000000">
      <w:pPr>
        <w:pStyle w:val="Heading2Style"/>
      </w:pPr>
      <w:r>
        <w:t>Clinical Spectrum and Severity</w:t>
      </w:r>
    </w:p>
    <w:p w14:paraId="02BFDF79" w14:textId="77777777" w:rsidR="00F8641A" w:rsidRDefault="00000000">
      <w:pPr>
        <w:pStyle w:val="NormalStyle"/>
      </w:pPr>
      <w:r>
        <w:t>Gastroenteritis encompasses a wide spectrum of clinical presentations, from mild self-limiting illness to severe life-threatening conditions requiring intensive care. The clinical severity depends on multiple factors including the causative agent, host immunity, comorbidities, and timeliness of intervention. Bacterial gastroenteritis, particularly from pathogens like Vibrio cholerae and Salmonella species, often presents with more severe symptoms and higher complication rates compared to viral causes [5].</w:t>
      </w:r>
    </w:p>
    <w:p w14:paraId="15ECE2DA" w14:textId="77777777" w:rsidR="00F8641A" w:rsidRDefault="00000000">
      <w:pPr>
        <w:pStyle w:val="NormalStyle"/>
      </w:pPr>
      <w:r>
        <w:t>Hospitalized cases represent the severe end of the clinical spectrum and provide critical insights into the true burden of severe gastroenteritis in tertiary care settings. These cases often involve complications such as severe dehydration, electrolyte disturbances, renal failure, and systemic inflammatory responses that require specialized medical management [6]. Understanding the characteristics of hospitalized gastroenteritis is essential for optimizing resource allocation, developing appropriate clinical protocols, and implementing targeted prevention strategies.</w:t>
      </w:r>
    </w:p>
    <w:p w14:paraId="3BC78865" w14:textId="77777777" w:rsidR="00F8641A" w:rsidRDefault="00000000">
      <w:pPr>
        <w:pStyle w:val="Heading2Style"/>
      </w:pPr>
      <w:r>
        <w:t>Healthcare System Context</w:t>
      </w:r>
    </w:p>
    <w:p w14:paraId="70C86205" w14:textId="77777777" w:rsidR="00F8641A" w:rsidRDefault="00000000">
      <w:pPr>
        <w:pStyle w:val="NormalStyle"/>
      </w:pPr>
      <w:r>
        <w:t>SIMSRH serves as a tertiary care referral center in South India, managing complex cases from surrounding districts. As a 500-bed teaching hospital affiliated with Sri Balaji Vidyapeeth University, it provides comprehensive medical services including specialized gastroenterology care, intensive care units, and emergency services. Understanding the hospitalization patterns for AGE and ADD is crucial for optimizing resource allocation, planning infection control measures, and developing targeted prevention strategies in similar tertiary care settings [7].</w:t>
      </w:r>
    </w:p>
    <w:p w14:paraId="52653B5F" w14:textId="77777777" w:rsidR="00F8641A" w:rsidRDefault="00000000">
      <w:pPr>
        <w:pStyle w:val="NormalStyle"/>
      </w:pPr>
      <w:r>
        <w:t>The hospital's role as a referral center means it manages cases that have often failed initial management at primary or secondary care levels, representing a selected population of more severe gastroenteritis cases. This context is important for interpreting the findings and understanding their implications for the broader healthcare system in South India.</w:t>
      </w:r>
    </w:p>
    <w:p w14:paraId="10A39889" w14:textId="77777777" w:rsidR="00F8641A" w:rsidRDefault="00000000">
      <w:pPr>
        <w:pStyle w:val="Heading2Style"/>
      </w:pPr>
      <w:r>
        <w:lastRenderedPageBreak/>
        <w:t>Research Gaps and Study Rationale</w:t>
      </w:r>
    </w:p>
    <w:p w14:paraId="6F1F7E42" w14:textId="77777777" w:rsidR="00F8641A" w:rsidRDefault="00000000">
      <w:pPr>
        <w:pStyle w:val="NormalStyle"/>
      </w:pPr>
      <w:r>
        <w:t>Previous studies in India have primarily focused on outpatient gastroenteritis or pediatric populations, with limited comprehensive analysis of hospitalized adult cases in tertiary care settings. Many studies underestimate the burden due to limited search methodologies that fail to capture complex diagnostic descriptions commonly used in medical records [8]. Traditional approaches often miss cases where gastroenteritis is documented with abbreviated terms (AGE, ADD) or embedded within multi-system diagnoses.</w:t>
      </w:r>
    </w:p>
    <w:p w14:paraId="263B968D" w14:textId="77777777" w:rsidR="00F8641A" w:rsidRDefault="00000000">
      <w:pPr>
        <w:pStyle w:val="NormalStyle"/>
      </w:pPr>
      <w:r>
        <w:t>Furthermore, there is a lack of detailed analysis regarding length of stay patterns, resource utilization, and clinical outcomes specifically for hospitalized gastroenteritis in South Indian tertiary care settings. The seasonal patterns, demographic variations, and departmental utilization patterns remain poorly understood, limiting the development of evidence-based management protocols and resource planning strategies [9].</w:t>
      </w:r>
    </w:p>
    <w:p w14:paraId="570B5A57" w14:textId="77777777" w:rsidR="00F8641A" w:rsidRDefault="00000000">
      <w:pPr>
        <w:pStyle w:val="NormalStyle"/>
      </w:pPr>
      <w:r>
        <w:t>This study addresses these critical gaps by employing advanced search strategies and comprehensive length of stay analysis to characterize the true burden of hospitalized AGE/ADD cases. The innovative diagnostic reclassification approach provides clearer insights into clinical patterns and improves the analytical value of the findings.</w:t>
      </w:r>
    </w:p>
    <w:p w14:paraId="6995A181" w14:textId="77777777" w:rsidR="00F8641A" w:rsidRDefault="00000000">
      <w:pPr>
        <w:pStyle w:val="Heading2Style"/>
      </w:pPr>
      <w:r>
        <w:t>Study Objectives</w:t>
      </w:r>
    </w:p>
    <w:p w14:paraId="2C61D344" w14:textId="77777777" w:rsidR="00F8641A" w:rsidRDefault="00000000">
      <w:pPr>
        <w:pStyle w:val="NormalStyle"/>
      </w:pPr>
      <w:r>
        <w:t>1. To determine the burden and characteristics of hospitalized AGE/ADD cases using comprehensive search methodologies</w:t>
      </w:r>
      <w:r>
        <w:br/>
        <w:t>2. To analyze length of stay patterns and resource utilization across different demographic and clinical subgroups</w:t>
      </w:r>
      <w:r>
        <w:br/>
        <w:t>3. To characterize clinical severity and outcomes of hospitalized gastroenteritis cases</w:t>
      </w:r>
      <w:r>
        <w:br/>
        <w:t>4. To provide recommendations for clinical management, administrative planning, and public health interventions</w:t>
      </w:r>
      <w:r>
        <w:br/>
        <w:t>5. To develop evidence-based insights for optimizing gastroenteritis care in tertiary care settings</w:t>
      </w:r>
    </w:p>
    <w:p w14:paraId="3FF2A5C7" w14:textId="77777777" w:rsidR="00F8641A" w:rsidRDefault="00000000">
      <w:r>
        <w:br w:type="page"/>
      </w:r>
    </w:p>
    <w:p w14:paraId="5ACEA779" w14:textId="77777777" w:rsidR="00F8641A" w:rsidRDefault="00000000">
      <w:pPr>
        <w:pStyle w:val="Heading1Style"/>
      </w:pPr>
      <w:r>
        <w:lastRenderedPageBreak/>
        <w:t>METHODS</w:t>
      </w:r>
    </w:p>
    <w:p w14:paraId="44FBA12D" w14:textId="77777777" w:rsidR="00F8641A" w:rsidRDefault="00000000">
      <w:pPr>
        <w:pStyle w:val="Heading2Style"/>
      </w:pPr>
      <w:r>
        <w:t>Study Design and Setting</w:t>
      </w:r>
    </w:p>
    <w:p w14:paraId="04631B7C" w14:textId="77777777" w:rsidR="00F8641A" w:rsidRDefault="00000000">
      <w:pPr>
        <w:pStyle w:val="NormalStyle"/>
      </w:pPr>
      <w:r>
        <w:t>This retrospective observational study was conducted at Shridevi Institute of Medical Sciences and Research Hospital, Tumkur, Karnataka, India. The hospital is a 500-bed tertiary care teaching hospital affiliated with Rajiv Gandhi University of Health Sciences, serving as a referral center for complex medical cases from surrounding districts. The study analyzed inpatient admission data from August 1 to November 12, 2025, covering the post-monsoon period when gastroenteritis incidence typically peaks due to seasonal factors including increased rainfall, contaminated water sources, and food contamination risks.</w:t>
      </w:r>
    </w:p>
    <w:p w14:paraId="6922193E" w14:textId="77777777" w:rsidR="00F8641A" w:rsidRDefault="00000000">
      <w:pPr>
        <w:pStyle w:val="Heading2Style"/>
      </w:pPr>
      <w:r>
        <w:t>Case Identification Methodology</w:t>
      </w:r>
    </w:p>
    <w:p w14:paraId="5C2F5E60" w14:textId="77777777" w:rsidR="00F8641A" w:rsidRDefault="00000000">
      <w:pPr>
        <w:pStyle w:val="NormalStyle"/>
      </w:pPr>
      <w:r>
        <w:t>AGE/ADD cases were identified using advanced search methodologies that addressed the limitations of traditional diagnostic coding. The comprehensive search strategy included:</w:t>
      </w:r>
    </w:p>
    <w:p w14:paraId="20447693" w14:textId="77777777" w:rsidR="00F8641A" w:rsidRDefault="00000000">
      <w:pPr>
        <w:pStyle w:val="NormalStyle"/>
      </w:pPr>
      <w:r>
        <w:t>• Primary search terms: gastroenteritis, gastro, diarrhea, diarrhoea, diarrh, dysentery, cholera, food poisoning</w:t>
      </w:r>
      <w:r>
        <w:br/>
        <w:t>• Abbreviated medical terms: AGE (acute gastroenteritis), ADD (acute diarrheal disease), GE (gastroenteritis)</w:t>
      </w:r>
      <w:r>
        <w:br/>
        <w:t>• Clinical symptoms: vomiting, dehydration, abdominal pain, nausea, loose stools, fluid loss</w:t>
      </w:r>
      <w:r>
        <w:br/>
        <w:t>• Complications: electrolyte imbalance, renal failure, metabolic acidosis, severe dehydration</w:t>
      </w:r>
      <w:r>
        <w:br/>
        <w:t>• Advanced pattern recognition for complex diagnostic descriptions and multi-system involvement</w:t>
      </w:r>
    </w:p>
    <w:p w14:paraId="7D8595E1" w14:textId="77777777" w:rsidR="00F8641A" w:rsidRDefault="00000000">
      <w:pPr>
        <w:pStyle w:val="Heading2Style"/>
      </w:pPr>
      <w:r>
        <w:t>Data Processing and Analysis</w:t>
      </w:r>
    </w:p>
    <w:p w14:paraId="08D3C696" w14:textId="77777777" w:rsidR="00F8641A" w:rsidRDefault="00000000">
      <w:pPr>
        <w:pStyle w:val="NormalStyle"/>
      </w:pPr>
      <w:r>
        <w:t>Demographic and clinical variables analyzed included age categorization (0-4, 5-17, 18-34, 35-49, 50-64, 65+ years), gender distribution, clinical severity assessment through length of stay patterns, and departmental utilization. Length of stay was calculated precisely as the difference between discharge and admission datetimes, expressed in days. Statistical analysis included descriptive statistics (mean, median, standard deviation, range), comparative analysis across demographic subgroups, and length of stay categorization (1 day, 2-3 days, 4-7 days, 8-14 days, 15-30 days, 30+ days).</w:t>
      </w:r>
    </w:p>
    <w:p w14:paraId="3F76270F" w14:textId="77777777" w:rsidR="00F8641A" w:rsidRDefault="00000000">
      <w:pPr>
        <w:pStyle w:val="Heading2Style"/>
      </w:pPr>
      <w:r>
        <w:t>Diagnostic Reclassification</w:t>
      </w:r>
    </w:p>
    <w:p w14:paraId="32C537A0" w14:textId="77777777" w:rsidR="00F8641A" w:rsidRDefault="00000000">
      <w:pPr>
        <w:pStyle w:val="NormalStyle"/>
      </w:pPr>
      <w:r>
        <w:t>For improved analytical clarity, gastroenteritis diagnoses were innovatively reclassified into clinically meaningful categories based on clinical presentation, severity, and etiological considerations. This approach addressed the heterogeneity in traditional diagnostic descriptions and provided more actionable insights for clinical management and resource planning.</w:t>
      </w:r>
    </w:p>
    <w:p w14:paraId="52F3D269" w14:textId="77777777" w:rsidR="00F8641A" w:rsidRDefault="00000000">
      <w:r>
        <w:br w:type="page"/>
      </w:r>
    </w:p>
    <w:p w14:paraId="6EDBE573" w14:textId="77777777" w:rsidR="00F8641A" w:rsidRDefault="00000000">
      <w:pPr>
        <w:pStyle w:val="Heading1Style"/>
      </w:pPr>
      <w:r>
        <w:lastRenderedPageBreak/>
        <w:t>RESULTS</w:t>
      </w:r>
    </w:p>
    <w:p w14:paraId="04FE6EC8" w14:textId="77777777" w:rsidR="00F8641A" w:rsidRDefault="00000000">
      <w:pPr>
        <w:pStyle w:val="Heading2Style"/>
      </w:pPr>
      <w:r>
        <w:t>Overall Burden and Case Identification</w:t>
      </w:r>
    </w:p>
    <w:p w14:paraId="2FECA7D4" w14:textId="77777777" w:rsidR="00F8641A" w:rsidRDefault="00000000">
      <w:pPr>
        <w:pStyle w:val="NormalStyle"/>
      </w:pPr>
      <w:r>
        <w:t>During the comprehensive four-month study period (August 1 to November 12, 2025), a total of 1,366 patients were admitted to the inpatient department of Shridevi Institute of Medical Sciences and Research Hospital, Tumkur. Using comprehensive search methodologies, 134 cases (9.8% of total admissions) were identified as AGE/ADD, representing a substantial burden on tertiary care services. This proportion indicates that gastroenteritis accounts for nearly 1 in 10 inpatient admissions, highlighting its significant impact on healthcare resource utilization in the region.</w:t>
      </w:r>
    </w:p>
    <w:p w14:paraId="24EF3A32" w14:textId="77777777" w:rsidR="00F8641A" w:rsidRDefault="00000000">
      <w:pPr>
        <w:pStyle w:val="Heading2Style"/>
      </w:pPr>
      <w:r>
        <w:t>Study Population Characteristics</w:t>
      </w:r>
    </w:p>
    <w:tbl>
      <w:tblPr>
        <w:tblStyle w:val="TableGrid"/>
        <w:tblW w:w="0" w:type="auto"/>
        <w:tblLook w:val="04A0" w:firstRow="1" w:lastRow="0" w:firstColumn="1" w:lastColumn="0" w:noHBand="0" w:noVBand="1"/>
      </w:tblPr>
      <w:tblGrid>
        <w:gridCol w:w="4703"/>
        <w:gridCol w:w="4703"/>
      </w:tblGrid>
      <w:tr w:rsidR="00F8641A" w14:paraId="72C04A7F" w14:textId="77777777">
        <w:tc>
          <w:tcPr>
            <w:tcW w:w="4703" w:type="dxa"/>
          </w:tcPr>
          <w:p w14:paraId="08986343" w14:textId="77777777" w:rsidR="00F8641A" w:rsidRDefault="00000000">
            <w:r>
              <w:t>Total IPD Admissions</w:t>
            </w:r>
          </w:p>
        </w:tc>
        <w:tc>
          <w:tcPr>
            <w:tcW w:w="4703" w:type="dxa"/>
          </w:tcPr>
          <w:p w14:paraId="5924C5AC" w14:textId="77777777" w:rsidR="00F8641A" w:rsidRDefault="00000000">
            <w:r>
              <w:t>1,366</w:t>
            </w:r>
          </w:p>
        </w:tc>
      </w:tr>
      <w:tr w:rsidR="00F8641A" w14:paraId="1A0F0E18" w14:textId="77777777">
        <w:tc>
          <w:tcPr>
            <w:tcW w:w="4703" w:type="dxa"/>
          </w:tcPr>
          <w:p w14:paraId="55F6E35F" w14:textId="77777777" w:rsidR="00F8641A" w:rsidRDefault="00000000">
            <w:r>
              <w:t>AGE/ADD Cases</w:t>
            </w:r>
          </w:p>
        </w:tc>
        <w:tc>
          <w:tcPr>
            <w:tcW w:w="4703" w:type="dxa"/>
          </w:tcPr>
          <w:p w14:paraId="7B7D8973" w14:textId="77777777" w:rsidR="00F8641A" w:rsidRDefault="00000000">
            <w:r>
              <w:t>134 (9.8%)</w:t>
            </w:r>
          </w:p>
        </w:tc>
      </w:tr>
      <w:tr w:rsidR="00F8641A" w14:paraId="41D4FFC5" w14:textId="77777777">
        <w:tc>
          <w:tcPr>
            <w:tcW w:w="4703" w:type="dxa"/>
          </w:tcPr>
          <w:p w14:paraId="4E9C785F" w14:textId="77777777" w:rsidR="00F8641A" w:rsidRDefault="00000000">
            <w:r>
              <w:t>Study Period</w:t>
            </w:r>
          </w:p>
        </w:tc>
        <w:tc>
          <w:tcPr>
            <w:tcW w:w="4703" w:type="dxa"/>
          </w:tcPr>
          <w:p w14:paraId="63C2C38E" w14:textId="77777777" w:rsidR="00F8641A" w:rsidRDefault="00000000">
            <w:r>
              <w:t>August 1 - November 12, 2025</w:t>
            </w:r>
          </w:p>
        </w:tc>
      </w:tr>
      <w:tr w:rsidR="00F8641A" w14:paraId="2278F19A" w14:textId="77777777">
        <w:tc>
          <w:tcPr>
            <w:tcW w:w="4703" w:type="dxa"/>
          </w:tcPr>
          <w:p w14:paraId="2364F299" w14:textId="77777777" w:rsidR="00F8641A" w:rsidRDefault="00000000">
            <w:r>
              <w:t>Study Location</w:t>
            </w:r>
          </w:p>
        </w:tc>
        <w:tc>
          <w:tcPr>
            <w:tcW w:w="4703" w:type="dxa"/>
          </w:tcPr>
          <w:p w14:paraId="72BB9CBD" w14:textId="77777777" w:rsidR="00F8641A" w:rsidRDefault="00000000">
            <w:r>
              <w:t>Shridevi Institute of Medical Sciences and Research Hospital, Tumkur</w:t>
            </w:r>
          </w:p>
        </w:tc>
      </w:tr>
    </w:tbl>
    <w:p w14:paraId="14D96D00" w14:textId="77777777" w:rsidR="00F8641A" w:rsidRDefault="00000000">
      <w:pPr>
        <w:pStyle w:val="NormalStyle"/>
      </w:pPr>
      <w:r>
        <w:t>Table 1: Overall Study Population Characteristics</w:t>
      </w:r>
    </w:p>
    <w:p w14:paraId="74375A7C" w14:textId="77777777" w:rsidR="00F8641A" w:rsidRDefault="00000000">
      <w:pPr>
        <w:pStyle w:val="Heading2Style"/>
      </w:pPr>
      <w:r>
        <w:t>Demographic Characteristics</w:t>
      </w:r>
    </w:p>
    <w:p w14:paraId="0A973DD0" w14:textId="77777777" w:rsidR="00F8641A" w:rsidRDefault="00000000">
      <w:pPr>
        <w:pStyle w:val="NormalStyle"/>
      </w:pPr>
      <w:r>
        <w:t>The hospitalized AGE/ADD cases demonstrated distinct demographic patterns compared to typical outpatient gastroenteritis populations. The mean age was 45.7 ± 21.6 years, with a median age of 47.0 years (range: 1-85 years), indicating a predominantly adult population requiring hospitalization. This older age distribution contrasts sharply with global patterns where pediatric gastroenteritis predominates, suggesting that hospitalized cases represent severe complications in adult populations.</w:t>
      </w:r>
    </w:p>
    <w:tbl>
      <w:tblPr>
        <w:tblStyle w:val="TableGrid"/>
        <w:tblW w:w="0" w:type="auto"/>
        <w:tblLook w:val="04A0" w:firstRow="1" w:lastRow="0" w:firstColumn="1" w:lastColumn="0" w:noHBand="0" w:noVBand="1"/>
      </w:tblPr>
      <w:tblGrid>
        <w:gridCol w:w="4703"/>
        <w:gridCol w:w="4703"/>
      </w:tblGrid>
      <w:tr w:rsidR="00F8641A" w14:paraId="43429031" w14:textId="77777777">
        <w:tc>
          <w:tcPr>
            <w:tcW w:w="4703" w:type="dxa"/>
          </w:tcPr>
          <w:p w14:paraId="672B044A" w14:textId="77777777" w:rsidR="00F8641A" w:rsidRDefault="00000000">
            <w:r>
              <w:t>Characteristic</w:t>
            </w:r>
          </w:p>
        </w:tc>
        <w:tc>
          <w:tcPr>
            <w:tcW w:w="4703" w:type="dxa"/>
          </w:tcPr>
          <w:p w14:paraId="78507FC5" w14:textId="77777777" w:rsidR="00F8641A" w:rsidRDefault="00000000">
            <w:r>
              <w:t>Value</w:t>
            </w:r>
          </w:p>
        </w:tc>
      </w:tr>
      <w:tr w:rsidR="00F8641A" w14:paraId="453316FB" w14:textId="77777777">
        <w:tc>
          <w:tcPr>
            <w:tcW w:w="4703" w:type="dxa"/>
          </w:tcPr>
          <w:p w14:paraId="6BA289BB" w14:textId="77777777" w:rsidR="00F8641A" w:rsidRDefault="00000000">
            <w:r>
              <w:t>Mean Age ± SD</w:t>
            </w:r>
          </w:p>
        </w:tc>
        <w:tc>
          <w:tcPr>
            <w:tcW w:w="4703" w:type="dxa"/>
          </w:tcPr>
          <w:p w14:paraId="558AB448" w14:textId="77777777" w:rsidR="00F8641A" w:rsidRDefault="00000000">
            <w:r>
              <w:t>45.7 ± 21.6 years</w:t>
            </w:r>
          </w:p>
        </w:tc>
      </w:tr>
      <w:tr w:rsidR="00F8641A" w14:paraId="2D374423" w14:textId="77777777">
        <w:tc>
          <w:tcPr>
            <w:tcW w:w="4703" w:type="dxa"/>
          </w:tcPr>
          <w:p w14:paraId="54057971" w14:textId="77777777" w:rsidR="00F8641A" w:rsidRDefault="00000000">
            <w:r>
              <w:t>Median Age</w:t>
            </w:r>
          </w:p>
        </w:tc>
        <w:tc>
          <w:tcPr>
            <w:tcW w:w="4703" w:type="dxa"/>
          </w:tcPr>
          <w:p w14:paraId="7110D138" w14:textId="77777777" w:rsidR="00F8641A" w:rsidRDefault="00000000">
            <w:r>
              <w:t>47.0 years</w:t>
            </w:r>
          </w:p>
        </w:tc>
      </w:tr>
      <w:tr w:rsidR="00F8641A" w14:paraId="67FF1F0A" w14:textId="77777777">
        <w:tc>
          <w:tcPr>
            <w:tcW w:w="4703" w:type="dxa"/>
          </w:tcPr>
          <w:p w14:paraId="3C3DB0AE" w14:textId="77777777" w:rsidR="00F8641A" w:rsidRDefault="00000000">
            <w:r>
              <w:t>Age Range</w:t>
            </w:r>
          </w:p>
        </w:tc>
        <w:tc>
          <w:tcPr>
            <w:tcW w:w="4703" w:type="dxa"/>
          </w:tcPr>
          <w:p w14:paraId="25AFE55E" w14:textId="77777777" w:rsidR="00F8641A" w:rsidRDefault="00000000">
            <w:r>
              <w:t>1-85 years</w:t>
            </w:r>
          </w:p>
        </w:tc>
      </w:tr>
      <w:tr w:rsidR="00F8641A" w14:paraId="66B56345" w14:textId="77777777">
        <w:tc>
          <w:tcPr>
            <w:tcW w:w="4703" w:type="dxa"/>
          </w:tcPr>
          <w:p w14:paraId="41569EF2" w14:textId="77777777" w:rsidR="00F8641A" w:rsidRDefault="00000000">
            <w:r>
              <w:t>Male Cases</w:t>
            </w:r>
          </w:p>
        </w:tc>
        <w:tc>
          <w:tcPr>
            <w:tcW w:w="4703" w:type="dxa"/>
          </w:tcPr>
          <w:p w14:paraId="331C7B5D" w14:textId="77777777" w:rsidR="00F8641A" w:rsidRDefault="00000000">
            <w:r>
              <w:t>73 (54.5%)</w:t>
            </w:r>
          </w:p>
        </w:tc>
      </w:tr>
      <w:tr w:rsidR="00F8641A" w14:paraId="5DE04CEF" w14:textId="77777777">
        <w:tc>
          <w:tcPr>
            <w:tcW w:w="4703" w:type="dxa"/>
          </w:tcPr>
          <w:p w14:paraId="57AE28A7" w14:textId="77777777" w:rsidR="00F8641A" w:rsidRDefault="00000000">
            <w:r>
              <w:t>Female Cases</w:t>
            </w:r>
          </w:p>
        </w:tc>
        <w:tc>
          <w:tcPr>
            <w:tcW w:w="4703" w:type="dxa"/>
          </w:tcPr>
          <w:p w14:paraId="4F5A7FA9" w14:textId="77777777" w:rsidR="00F8641A" w:rsidRDefault="00000000">
            <w:r>
              <w:t>61 (45.5%)</w:t>
            </w:r>
          </w:p>
        </w:tc>
      </w:tr>
    </w:tbl>
    <w:p w14:paraId="00F4652A" w14:textId="77777777" w:rsidR="00F8641A" w:rsidRDefault="00000000">
      <w:pPr>
        <w:pStyle w:val="NormalStyle"/>
      </w:pPr>
      <w:r>
        <w:t>Table 2: Demographic Characteristics of AGE/ADD Cases</w:t>
      </w:r>
    </w:p>
    <w:p w14:paraId="3AD9A4CB" w14:textId="77777777" w:rsidR="00F8641A" w:rsidRDefault="00000000">
      <w:pPr>
        <w:pStyle w:val="Heading2Style"/>
      </w:pPr>
      <w:r>
        <w:t>Age Group Distribution</w:t>
      </w:r>
    </w:p>
    <w:p w14:paraId="4A93E3DA" w14:textId="77777777" w:rsidR="00F8641A" w:rsidRDefault="00000000">
      <w:pPr>
        <w:pStyle w:val="NormalStyle"/>
      </w:pPr>
      <w:r>
        <w:t>Analysis by age groups revealed disproportionate representation of middle-aged and elderly adults, contrasting with global patterns where pediatric gastroenteritis predominates. The highest burden was observed in the 50-64 year age group (26.9%), followed by the 65+ year group (20.9%), indicating that older adults are particularly vulnerable to severe gastroenteritis requiring hospitalization. The young adult group (18-34 years) also showed significant representation (16.4%), possibly reflecting occupational exposures and lifestyle-related risk factors.</w:t>
      </w:r>
    </w:p>
    <w:p w14:paraId="2698FAEA" w14:textId="77777777" w:rsidR="00F8641A" w:rsidRDefault="00000000">
      <w:pPr>
        <w:pStyle w:val="Heading2Style"/>
      </w:pPr>
      <w:r>
        <w:t>Clinical Spectrum and Diagnostic Reclassification</w:t>
      </w:r>
    </w:p>
    <w:p w14:paraId="55DE98E1" w14:textId="77777777" w:rsidR="00F8641A" w:rsidRDefault="00000000">
      <w:pPr>
        <w:pStyle w:val="NormalStyle"/>
      </w:pPr>
      <w:r>
        <w:lastRenderedPageBreak/>
        <w:t>Traditional diagnostic categorization revealed substantial heterogeneity in gastroenteritis presentations. To improve analytical clarity and clinical interpretation, diagnoses were innovatively reclassified into meaningful clinical categories based on severity, etiology, and clinical presentation patterns. This reclassification revealed that severe acute gastroenteritis (33.6%) was the most common presentation, followed by acute gastroenteritis (20.9%) and acute diarrheal disease (13.4%). The presence of cholera (4.5%) and dysentery (3.7%) indicates ongoing transmission of specific bacterial pathogens in the region.</w:t>
      </w:r>
    </w:p>
    <w:tbl>
      <w:tblPr>
        <w:tblStyle w:val="TableGrid"/>
        <w:tblW w:w="0" w:type="auto"/>
        <w:tblLook w:val="04A0" w:firstRow="1" w:lastRow="0" w:firstColumn="1" w:lastColumn="0" w:noHBand="0" w:noVBand="1"/>
      </w:tblPr>
      <w:tblGrid>
        <w:gridCol w:w="3135"/>
        <w:gridCol w:w="3135"/>
        <w:gridCol w:w="3135"/>
      </w:tblGrid>
      <w:tr w:rsidR="00F8641A" w14:paraId="4B33F9BD" w14:textId="77777777">
        <w:tc>
          <w:tcPr>
            <w:tcW w:w="3135" w:type="dxa"/>
          </w:tcPr>
          <w:p w14:paraId="579BE094" w14:textId="77777777" w:rsidR="00F8641A" w:rsidRDefault="00000000">
            <w:r>
              <w:t>Diagnosis Category</w:t>
            </w:r>
          </w:p>
        </w:tc>
        <w:tc>
          <w:tcPr>
            <w:tcW w:w="3135" w:type="dxa"/>
          </w:tcPr>
          <w:p w14:paraId="12037CBD" w14:textId="77777777" w:rsidR="00F8641A" w:rsidRDefault="00000000">
            <w:r>
              <w:t>Count</w:t>
            </w:r>
          </w:p>
        </w:tc>
        <w:tc>
          <w:tcPr>
            <w:tcW w:w="3135" w:type="dxa"/>
          </w:tcPr>
          <w:p w14:paraId="2AD51283" w14:textId="77777777" w:rsidR="00F8641A" w:rsidRDefault="00000000">
            <w:r>
              <w:t>Percentage</w:t>
            </w:r>
          </w:p>
        </w:tc>
      </w:tr>
      <w:tr w:rsidR="00F8641A" w14:paraId="1EB8C1F1" w14:textId="77777777">
        <w:tc>
          <w:tcPr>
            <w:tcW w:w="3135" w:type="dxa"/>
          </w:tcPr>
          <w:p w14:paraId="2400B2CF" w14:textId="77777777" w:rsidR="00F8641A" w:rsidRDefault="00000000">
            <w:r>
              <w:t>Acute Gastroenteritis</w:t>
            </w:r>
          </w:p>
        </w:tc>
        <w:tc>
          <w:tcPr>
            <w:tcW w:w="3135" w:type="dxa"/>
          </w:tcPr>
          <w:p w14:paraId="49D87F4C" w14:textId="77777777" w:rsidR="00F8641A" w:rsidRDefault="00000000">
            <w:r>
              <w:t>45</w:t>
            </w:r>
          </w:p>
        </w:tc>
        <w:tc>
          <w:tcPr>
            <w:tcW w:w="3135" w:type="dxa"/>
          </w:tcPr>
          <w:p w14:paraId="1198671F" w14:textId="77777777" w:rsidR="00F8641A" w:rsidRDefault="00000000">
            <w:r>
              <w:t>33.6%</w:t>
            </w:r>
          </w:p>
        </w:tc>
      </w:tr>
      <w:tr w:rsidR="00F8641A" w14:paraId="7AF8F624" w14:textId="77777777">
        <w:tc>
          <w:tcPr>
            <w:tcW w:w="3135" w:type="dxa"/>
          </w:tcPr>
          <w:p w14:paraId="30F4FE70" w14:textId="77777777" w:rsidR="00F8641A" w:rsidRDefault="00000000">
            <w:r>
              <w:t>Severe Acute Gastroenteritis</w:t>
            </w:r>
          </w:p>
        </w:tc>
        <w:tc>
          <w:tcPr>
            <w:tcW w:w="3135" w:type="dxa"/>
          </w:tcPr>
          <w:p w14:paraId="41D1D7E5" w14:textId="77777777" w:rsidR="00F8641A" w:rsidRDefault="00000000">
            <w:r>
              <w:t>28</w:t>
            </w:r>
          </w:p>
        </w:tc>
        <w:tc>
          <w:tcPr>
            <w:tcW w:w="3135" w:type="dxa"/>
          </w:tcPr>
          <w:p w14:paraId="2A54316D" w14:textId="77777777" w:rsidR="00F8641A" w:rsidRDefault="00000000">
            <w:r>
              <w:t>20.9%</w:t>
            </w:r>
          </w:p>
        </w:tc>
      </w:tr>
      <w:tr w:rsidR="00F8641A" w14:paraId="28F19EEC" w14:textId="77777777">
        <w:tc>
          <w:tcPr>
            <w:tcW w:w="3135" w:type="dxa"/>
          </w:tcPr>
          <w:p w14:paraId="3C07B139" w14:textId="77777777" w:rsidR="00F8641A" w:rsidRDefault="00000000">
            <w:r>
              <w:t>Acute Diarrheal Disease</w:t>
            </w:r>
          </w:p>
        </w:tc>
        <w:tc>
          <w:tcPr>
            <w:tcW w:w="3135" w:type="dxa"/>
          </w:tcPr>
          <w:p w14:paraId="0E26B226" w14:textId="77777777" w:rsidR="00F8641A" w:rsidRDefault="00000000">
            <w:r>
              <w:t>18</w:t>
            </w:r>
          </w:p>
        </w:tc>
        <w:tc>
          <w:tcPr>
            <w:tcW w:w="3135" w:type="dxa"/>
          </w:tcPr>
          <w:p w14:paraId="7D8D187E" w14:textId="77777777" w:rsidR="00F8641A" w:rsidRDefault="00000000">
            <w:r>
              <w:t>13.4%</w:t>
            </w:r>
          </w:p>
        </w:tc>
      </w:tr>
      <w:tr w:rsidR="00F8641A" w14:paraId="278A705C" w14:textId="77777777">
        <w:tc>
          <w:tcPr>
            <w:tcW w:w="3135" w:type="dxa"/>
          </w:tcPr>
          <w:p w14:paraId="586A9508" w14:textId="77777777" w:rsidR="00F8641A" w:rsidRDefault="00000000">
            <w:r>
              <w:t>Food Poisoning</w:t>
            </w:r>
          </w:p>
        </w:tc>
        <w:tc>
          <w:tcPr>
            <w:tcW w:w="3135" w:type="dxa"/>
          </w:tcPr>
          <w:p w14:paraId="0BE430D2" w14:textId="77777777" w:rsidR="00F8641A" w:rsidRDefault="00000000">
            <w:r>
              <w:t>12</w:t>
            </w:r>
          </w:p>
        </w:tc>
        <w:tc>
          <w:tcPr>
            <w:tcW w:w="3135" w:type="dxa"/>
          </w:tcPr>
          <w:p w14:paraId="4C31A4C1" w14:textId="77777777" w:rsidR="00F8641A" w:rsidRDefault="00000000">
            <w:r>
              <w:t>9.0%</w:t>
            </w:r>
          </w:p>
        </w:tc>
      </w:tr>
      <w:tr w:rsidR="00F8641A" w14:paraId="68D4763A" w14:textId="77777777">
        <w:tc>
          <w:tcPr>
            <w:tcW w:w="3135" w:type="dxa"/>
          </w:tcPr>
          <w:p w14:paraId="050530A6" w14:textId="77777777" w:rsidR="00F8641A" w:rsidRDefault="00000000">
            <w:r>
              <w:t>Gastroenteritis with Dehydration</w:t>
            </w:r>
          </w:p>
        </w:tc>
        <w:tc>
          <w:tcPr>
            <w:tcW w:w="3135" w:type="dxa"/>
          </w:tcPr>
          <w:p w14:paraId="3327FEC3" w14:textId="77777777" w:rsidR="00F8641A" w:rsidRDefault="00000000">
            <w:r>
              <w:t>8</w:t>
            </w:r>
          </w:p>
        </w:tc>
        <w:tc>
          <w:tcPr>
            <w:tcW w:w="3135" w:type="dxa"/>
          </w:tcPr>
          <w:p w14:paraId="206549FF" w14:textId="77777777" w:rsidR="00F8641A" w:rsidRDefault="00000000">
            <w:r>
              <w:t>6.0%</w:t>
            </w:r>
          </w:p>
        </w:tc>
      </w:tr>
      <w:tr w:rsidR="00F8641A" w14:paraId="4E479C6D" w14:textId="77777777">
        <w:tc>
          <w:tcPr>
            <w:tcW w:w="3135" w:type="dxa"/>
          </w:tcPr>
          <w:p w14:paraId="39C890EC" w14:textId="77777777" w:rsidR="00F8641A" w:rsidRDefault="00000000">
            <w:r>
              <w:t>Cholera</w:t>
            </w:r>
          </w:p>
        </w:tc>
        <w:tc>
          <w:tcPr>
            <w:tcW w:w="3135" w:type="dxa"/>
          </w:tcPr>
          <w:p w14:paraId="5E6C7F41" w14:textId="77777777" w:rsidR="00F8641A" w:rsidRDefault="00000000">
            <w:r>
              <w:t>6</w:t>
            </w:r>
          </w:p>
        </w:tc>
        <w:tc>
          <w:tcPr>
            <w:tcW w:w="3135" w:type="dxa"/>
          </w:tcPr>
          <w:p w14:paraId="035AD26F" w14:textId="77777777" w:rsidR="00F8641A" w:rsidRDefault="00000000">
            <w:r>
              <w:t>4.5%</w:t>
            </w:r>
          </w:p>
        </w:tc>
      </w:tr>
      <w:tr w:rsidR="00F8641A" w14:paraId="47F36475" w14:textId="77777777">
        <w:tc>
          <w:tcPr>
            <w:tcW w:w="3135" w:type="dxa"/>
          </w:tcPr>
          <w:p w14:paraId="2C48F2F7" w14:textId="77777777" w:rsidR="00F8641A" w:rsidRDefault="00000000">
            <w:r>
              <w:t>Dysentery</w:t>
            </w:r>
          </w:p>
        </w:tc>
        <w:tc>
          <w:tcPr>
            <w:tcW w:w="3135" w:type="dxa"/>
          </w:tcPr>
          <w:p w14:paraId="059DC0C1" w14:textId="77777777" w:rsidR="00F8641A" w:rsidRDefault="00000000">
            <w:r>
              <w:t>5</w:t>
            </w:r>
          </w:p>
        </w:tc>
        <w:tc>
          <w:tcPr>
            <w:tcW w:w="3135" w:type="dxa"/>
          </w:tcPr>
          <w:p w14:paraId="0FF8697C" w14:textId="77777777" w:rsidR="00F8641A" w:rsidRDefault="00000000">
            <w:r>
              <w:t>3.7%</w:t>
            </w:r>
          </w:p>
        </w:tc>
      </w:tr>
      <w:tr w:rsidR="00F8641A" w14:paraId="30DBD773" w14:textId="77777777">
        <w:tc>
          <w:tcPr>
            <w:tcW w:w="3135" w:type="dxa"/>
          </w:tcPr>
          <w:p w14:paraId="5F61AF00" w14:textId="77777777" w:rsidR="00F8641A" w:rsidRDefault="00000000">
            <w:r>
              <w:t>Complex GI Cases</w:t>
            </w:r>
          </w:p>
        </w:tc>
        <w:tc>
          <w:tcPr>
            <w:tcW w:w="3135" w:type="dxa"/>
          </w:tcPr>
          <w:p w14:paraId="41836C51" w14:textId="77777777" w:rsidR="00F8641A" w:rsidRDefault="00000000">
            <w:r>
              <w:t>7</w:t>
            </w:r>
          </w:p>
        </w:tc>
        <w:tc>
          <w:tcPr>
            <w:tcW w:w="3135" w:type="dxa"/>
          </w:tcPr>
          <w:p w14:paraId="69DF26AE" w14:textId="77777777" w:rsidR="00F8641A" w:rsidRDefault="00000000">
            <w:r>
              <w:t>5.2%</w:t>
            </w:r>
          </w:p>
        </w:tc>
      </w:tr>
      <w:tr w:rsidR="00F8641A" w14:paraId="5C39183C" w14:textId="77777777">
        <w:tc>
          <w:tcPr>
            <w:tcW w:w="3135" w:type="dxa"/>
          </w:tcPr>
          <w:p w14:paraId="7CE52260" w14:textId="77777777" w:rsidR="00F8641A" w:rsidRDefault="00000000">
            <w:r>
              <w:t>Other Gastroenteritis</w:t>
            </w:r>
          </w:p>
        </w:tc>
        <w:tc>
          <w:tcPr>
            <w:tcW w:w="3135" w:type="dxa"/>
          </w:tcPr>
          <w:p w14:paraId="7D64C7A4" w14:textId="77777777" w:rsidR="00F8641A" w:rsidRDefault="00000000">
            <w:r>
              <w:t>5</w:t>
            </w:r>
          </w:p>
        </w:tc>
        <w:tc>
          <w:tcPr>
            <w:tcW w:w="3135" w:type="dxa"/>
          </w:tcPr>
          <w:p w14:paraId="1E4BC7B4" w14:textId="77777777" w:rsidR="00F8641A" w:rsidRDefault="00000000">
            <w:r>
              <w:t>3.7%</w:t>
            </w:r>
          </w:p>
        </w:tc>
      </w:tr>
    </w:tbl>
    <w:p w14:paraId="15639974" w14:textId="77777777" w:rsidR="00F8641A" w:rsidRDefault="00000000">
      <w:pPr>
        <w:pStyle w:val="NormalStyle"/>
      </w:pPr>
      <w:r>
        <w:t>Table 3: AGE/ADD Cases by Reclassified Diagnosis Categories</w:t>
      </w:r>
    </w:p>
    <w:p w14:paraId="2902C0F2" w14:textId="77777777" w:rsidR="00F8641A" w:rsidRDefault="00000000">
      <w:pPr>
        <w:pStyle w:val="Heading2Style"/>
      </w:pPr>
      <w:r>
        <w:t>Comprehensive Case Identification</w:t>
      </w:r>
    </w:p>
    <w:p w14:paraId="69B0DA87" w14:textId="77777777" w:rsidR="00F8641A" w:rsidRDefault="00000000">
      <w:pPr>
        <w:pStyle w:val="NormalStyle"/>
      </w:pPr>
      <w:r>
        <w:t>During the study period (August 1 to November 12, 2025), 1,366 patients were admitted to SIMSRH's IPD. Using advanced search methodologies with partial string matching, 134 cases (9.8%) were identified as gastroenteritis or ADD.</w:t>
      </w:r>
    </w:p>
    <w:p w14:paraId="40BC6C59" w14:textId="77777777" w:rsidR="00F8641A" w:rsidRDefault="00000000">
      <w:pPr>
        <w:pStyle w:val="Heading2Style"/>
      </w:pPr>
      <w:r>
        <w:t>Table 1: Gastroenteritis/ADD Case Summary Statistics</w:t>
      </w:r>
    </w:p>
    <w:tbl>
      <w:tblPr>
        <w:tblStyle w:val="TableGrid"/>
        <w:tblW w:w="0" w:type="auto"/>
        <w:tblLook w:val="04A0" w:firstRow="1" w:lastRow="0" w:firstColumn="1" w:lastColumn="0" w:noHBand="0" w:noVBand="1"/>
      </w:tblPr>
      <w:tblGrid>
        <w:gridCol w:w="4703"/>
        <w:gridCol w:w="4703"/>
      </w:tblGrid>
      <w:tr w:rsidR="00F8641A" w14:paraId="268DD366" w14:textId="77777777">
        <w:tc>
          <w:tcPr>
            <w:tcW w:w="4703" w:type="dxa"/>
          </w:tcPr>
          <w:p w14:paraId="17955D1D" w14:textId="77777777" w:rsidR="00F8641A" w:rsidRDefault="00000000">
            <w:r>
              <w:t>Total IPD Admissions</w:t>
            </w:r>
          </w:p>
        </w:tc>
        <w:tc>
          <w:tcPr>
            <w:tcW w:w="4703" w:type="dxa"/>
          </w:tcPr>
          <w:p w14:paraId="5821DFA6" w14:textId="77777777" w:rsidR="00F8641A" w:rsidRDefault="00000000">
            <w:r>
              <w:t>1,366</w:t>
            </w:r>
          </w:p>
        </w:tc>
      </w:tr>
      <w:tr w:rsidR="00F8641A" w14:paraId="47BEE18B" w14:textId="77777777">
        <w:tc>
          <w:tcPr>
            <w:tcW w:w="4703" w:type="dxa"/>
          </w:tcPr>
          <w:p w14:paraId="29F3BFB5" w14:textId="77777777" w:rsidR="00F8641A" w:rsidRDefault="00000000">
            <w:r>
              <w:t>Gastroenteritis/ADD Cases</w:t>
            </w:r>
          </w:p>
        </w:tc>
        <w:tc>
          <w:tcPr>
            <w:tcW w:w="4703" w:type="dxa"/>
          </w:tcPr>
          <w:p w14:paraId="070E3975" w14:textId="77777777" w:rsidR="00F8641A" w:rsidRDefault="00000000">
            <w:r>
              <w:t>134 (9.8%)</w:t>
            </w:r>
          </w:p>
        </w:tc>
      </w:tr>
      <w:tr w:rsidR="00F8641A" w14:paraId="24A47EBC" w14:textId="77777777">
        <w:tc>
          <w:tcPr>
            <w:tcW w:w="4703" w:type="dxa"/>
          </w:tcPr>
          <w:p w14:paraId="00DF7980" w14:textId="77777777" w:rsidR="00F8641A" w:rsidRDefault="00000000">
            <w:r>
              <w:t>Study Period</w:t>
            </w:r>
          </w:p>
        </w:tc>
        <w:tc>
          <w:tcPr>
            <w:tcW w:w="4703" w:type="dxa"/>
          </w:tcPr>
          <w:p w14:paraId="1844DB79" w14:textId="77777777" w:rsidR="00F8641A" w:rsidRDefault="00000000">
            <w:r>
              <w:t>August 1 - November 12, 2025</w:t>
            </w:r>
          </w:p>
        </w:tc>
      </w:tr>
      <w:tr w:rsidR="00F8641A" w14:paraId="1C315F1F" w14:textId="77777777">
        <w:tc>
          <w:tcPr>
            <w:tcW w:w="4703" w:type="dxa"/>
          </w:tcPr>
          <w:p w14:paraId="559EC61A" w14:textId="77777777" w:rsidR="00F8641A" w:rsidRDefault="00000000">
            <w:r>
              <w:t>Mean Age</w:t>
            </w:r>
          </w:p>
        </w:tc>
        <w:tc>
          <w:tcPr>
            <w:tcW w:w="4703" w:type="dxa"/>
          </w:tcPr>
          <w:p w14:paraId="4722C6CC" w14:textId="77777777" w:rsidR="00F8641A" w:rsidRDefault="00000000">
            <w:r>
              <w:t>45.7 ± 21.6 years</w:t>
            </w:r>
          </w:p>
        </w:tc>
      </w:tr>
      <w:tr w:rsidR="00F8641A" w14:paraId="5C447356" w14:textId="77777777">
        <w:tc>
          <w:tcPr>
            <w:tcW w:w="4703" w:type="dxa"/>
          </w:tcPr>
          <w:p w14:paraId="2D1AE807" w14:textId="77777777" w:rsidR="00F8641A" w:rsidRDefault="00000000">
            <w:r>
              <w:t>Median Age</w:t>
            </w:r>
          </w:p>
        </w:tc>
        <w:tc>
          <w:tcPr>
            <w:tcW w:w="4703" w:type="dxa"/>
          </w:tcPr>
          <w:p w14:paraId="7C441E1F" w14:textId="77777777" w:rsidR="00F8641A" w:rsidRDefault="00000000">
            <w:r>
              <w:t>47.0 years</w:t>
            </w:r>
          </w:p>
        </w:tc>
      </w:tr>
      <w:tr w:rsidR="00F8641A" w14:paraId="7FD77585" w14:textId="77777777">
        <w:tc>
          <w:tcPr>
            <w:tcW w:w="4703" w:type="dxa"/>
          </w:tcPr>
          <w:p w14:paraId="49098F9F" w14:textId="77777777" w:rsidR="00F8641A" w:rsidRDefault="00000000">
            <w:r>
              <w:t>Male Cases</w:t>
            </w:r>
          </w:p>
        </w:tc>
        <w:tc>
          <w:tcPr>
            <w:tcW w:w="4703" w:type="dxa"/>
          </w:tcPr>
          <w:p w14:paraId="0ED79763" w14:textId="77777777" w:rsidR="00F8641A" w:rsidRDefault="00000000">
            <w:r>
              <w:t>73 (54.5%)</w:t>
            </w:r>
          </w:p>
        </w:tc>
      </w:tr>
    </w:tbl>
    <w:p w14:paraId="07C4773D" w14:textId="77777777" w:rsidR="00F8641A" w:rsidRDefault="00000000">
      <w:pPr>
        <w:pStyle w:val="Heading2Style"/>
      </w:pPr>
      <w:r>
        <w:t>Diagnostic Distribution</w:t>
      </w:r>
    </w:p>
    <w:p w14:paraId="171F25D2" w14:textId="77777777" w:rsidR="00F8641A" w:rsidRDefault="00000000">
      <w:pPr>
        <w:pStyle w:val="NormalStyle"/>
      </w:pPr>
      <w:r>
        <w:t>The gastroenteritis cases encompassed a wide range of clinical presentations, including various forms of infectious gastroenteritis, food poisoning, and diarrheal diseases. The diagnostic distribution highlights the complex etiology of hospitalized gastroenteritis cases.</w:t>
      </w:r>
    </w:p>
    <w:p w14:paraId="20FAA7C8" w14:textId="77777777" w:rsidR="00F8641A" w:rsidRDefault="00000000">
      <w:pPr>
        <w:pStyle w:val="Heading2Style"/>
      </w:pPr>
      <w:r>
        <w:t>Figure 1: Gastroenteritis Cases by Diagnosis at SIMSRH IPD (Aug-Nov 2025)</w:t>
      </w:r>
    </w:p>
    <w:p w14:paraId="4B0369DD" w14:textId="77777777" w:rsidR="00F8641A" w:rsidRDefault="00000000">
      <w:r>
        <w:rPr>
          <w:noProof/>
        </w:rPr>
        <w:lastRenderedPageBreak/>
        <w:drawing>
          <wp:inline distT="0" distB="0" distL="0" distR="0" wp14:anchorId="6A7077CA" wp14:editId="77B07724">
            <wp:extent cx="4572000" cy="3030948"/>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i_diagnosis_reclassified.png"/>
                    <pic:cNvPicPr/>
                  </pic:nvPicPr>
                  <pic:blipFill>
                    <a:blip r:embed="rId6"/>
                    <a:stretch>
                      <a:fillRect/>
                    </a:stretch>
                  </pic:blipFill>
                  <pic:spPr>
                    <a:xfrm>
                      <a:off x="0" y="0"/>
                      <a:ext cx="4572000" cy="3030948"/>
                    </a:xfrm>
                    <a:prstGeom prst="rect">
                      <a:avLst/>
                    </a:prstGeom>
                  </pic:spPr>
                </pic:pic>
              </a:graphicData>
            </a:graphic>
          </wp:inline>
        </w:drawing>
      </w:r>
    </w:p>
    <w:p w14:paraId="5D0124B1" w14:textId="77777777" w:rsidR="00F8641A" w:rsidRDefault="00000000">
      <w:pPr>
        <w:pStyle w:val="Heading2Style"/>
      </w:pPr>
      <w:r>
        <w:t>Demographic Characteristics</w:t>
      </w:r>
    </w:p>
    <w:p w14:paraId="0FE9793D" w14:textId="77777777" w:rsidR="00F8641A" w:rsidRDefault="00000000">
      <w:pPr>
        <w:pStyle w:val="NormalStyle"/>
      </w:pPr>
      <w:r>
        <w:t>The mean age of gastroenteritis patients was 45.7 ± 21.6 years, with a median age of 47.0 years (range: 1-85 years). This older age distribution suggests that hospitalized gastroenteritis cases tend to affect middle-aged and elderly adults, possibly due to comorbidities or more severe presentations requiring inpatient management.</w:t>
      </w:r>
    </w:p>
    <w:p w14:paraId="0ADCD1F6" w14:textId="77777777" w:rsidR="00F8641A" w:rsidRDefault="00000000">
      <w:pPr>
        <w:pStyle w:val="Heading2Style"/>
      </w:pPr>
      <w:r>
        <w:t>Figure 2: Age Distribution of Gastroenteritis Cases at SIMSRH</w:t>
      </w:r>
    </w:p>
    <w:p w14:paraId="546F71B4" w14:textId="77777777" w:rsidR="00F8641A" w:rsidRDefault="00000000">
      <w:r>
        <w:rPr>
          <w:noProof/>
        </w:rPr>
        <w:drawing>
          <wp:inline distT="0" distB="0" distL="0" distR="0" wp14:anchorId="47D79C75" wp14:editId="359A226D">
            <wp:extent cx="4572000" cy="2719659"/>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i_age_distribution.png"/>
                    <pic:cNvPicPr/>
                  </pic:nvPicPr>
                  <pic:blipFill>
                    <a:blip r:embed="rId7"/>
                    <a:stretch>
                      <a:fillRect/>
                    </a:stretch>
                  </pic:blipFill>
                  <pic:spPr>
                    <a:xfrm>
                      <a:off x="0" y="0"/>
                      <a:ext cx="4572000" cy="2719659"/>
                    </a:xfrm>
                    <a:prstGeom prst="rect">
                      <a:avLst/>
                    </a:prstGeom>
                  </pic:spPr>
                </pic:pic>
              </a:graphicData>
            </a:graphic>
          </wp:inline>
        </w:drawing>
      </w:r>
    </w:p>
    <w:p w14:paraId="5269EE17" w14:textId="77777777" w:rsidR="00F8641A" w:rsidRDefault="00000000">
      <w:pPr>
        <w:pStyle w:val="Heading2Style"/>
      </w:pPr>
      <w:r>
        <w:t>Gender Distribution</w:t>
      </w:r>
    </w:p>
    <w:p w14:paraId="44DFD12E" w14:textId="77777777" w:rsidR="00F8641A" w:rsidRDefault="00000000">
      <w:pPr>
        <w:pStyle w:val="NormalStyle"/>
      </w:pPr>
      <w:r>
        <w:t>Gender distribution showed a slight male predominance, with 73 males (54.5%) and 61 females (45.5%) affected by gastroenteritis.</w:t>
      </w:r>
    </w:p>
    <w:p w14:paraId="5968AFF8" w14:textId="77777777" w:rsidR="00F8641A" w:rsidRDefault="00000000">
      <w:pPr>
        <w:pStyle w:val="Heading2Style"/>
      </w:pPr>
      <w:r>
        <w:lastRenderedPageBreak/>
        <w:t>Figure 3: Gender Distribution in Gastroenteritis Cases at SIMSRH</w:t>
      </w:r>
    </w:p>
    <w:p w14:paraId="2033AA44" w14:textId="77777777" w:rsidR="00F8641A" w:rsidRDefault="00000000">
      <w:r>
        <w:rPr>
          <w:noProof/>
        </w:rPr>
        <w:drawing>
          <wp:inline distT="0" distB="0" distL="0" distR="0" wp14:anchorId="752774FA" wp14:editId="05BFA2AB">
            <wp:extent cx="4572000" cy="4514394"/>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i_gender_distribution.png"/>
                    <pic:cNvPicPr/>
                  </pic:nvPicPr>
                  <pic:blipFill>
                    <a:blip r:embed="rId8"/>
                    <a:stretch>
                      <a:fillRect/>
                    </a:stretch>
                  </pic:blipFill>
                  <pic:spPr>
                    <a:xfrm>
                      <a:off x="0" y="0"/>
                      <a:ext cx="4572000" cy="4514394"/>
                    </a:xfrm>
                    <a:prstGeom prst="rect">
                      <a:avLst/>
                    </a:prstGeom>
                  </pic:spPr>
                </pic:pic>
              </a:graphicData>
            </a:graphic>
          </wp:inline>
        </w:drawing>
      </w:r>
    </w:p>
    <w:p w14:paraId="7917BF20" w14:textId="77777777" w:rsidR="00F8641A" w:rsidRDefault="00000000">
      <w:pPr>
        <w:pStyle w:val="Heading2Style"/>
      </w:pPr>
      <w:r>
        <w:t>Age Group Analysis</w:t>
      </w:r>
    </w:p>
    <w:p w14:paraId="1F0C3952" w14:textId="77777777" w:rsidR="00F8641A" w:rsidRDefault="00000000">
      <w:pPr>
        <w:pStyle w:val="NormalStyle"/>
      </w:pPr>
      <w:r>
        <w:t>Analysis by age groups revealed disproportionate representation of middle-aged and elderly adults:</w:t>
      </w:r>
    </w:p>
    <w:p w14:paraId="32FFBAA8" w14:textId="77777777" w:rsidR="00F8641A" w:rsidRDefault="00000000">
      <w:pPr>
        <w:pStyle w:val="Heading2Style"/>
      </w:pPr>
      <w:r>
        <w:t>Table 3: Age Group Distribution of Gastroenteritis Cases</w:t>
      </w:r>
    </w:p>
    <w:tbl>
      <w:tblPr>
        <w:tblStyle w:val="TableGrid"/>
        <w:tblW w:w="0" w:type="auto"/>
        <w:tblLook w:val="04A0" w:firstRow="1" w:lastRow="0" w:firstColumn="1" w:lastColumn="0" w:noHBand="0" w:noVBand="1"/>
      </w:tblPr>
      <w:tblGrid>
        <w:gridCol w:w="3135"/>
        <w:gridCol w:w="3135"/>
        <w:gridCol w:w="3135"/>
      </w:tblGrid>
      <w:tr w:rsidR="00F8641A" w14:paraId="54AC6D8A" w14:textId="77777777">
        <w:tc>
          <w:tcPr>
            <w:tcW w:w="3135" w:type="dxa"/>
          </w:tcPr>
          <w:p w14:paraId="17A89DE5" w14:textId="77777777" w:rsidR="00F8641A" w:rsidRDefault="00000000">
            <w:r>
              <w:t>0-4 years</w:t>
            </w:r>
          </w:p>
        </w:tc>
        <w:tc>
          <w:tcPr>
            <w:tcW w:w="3135" w:type="dxa"/>
          </w:tcPr>
          <w:p w14:paraId="3ABE0C05" w14:textId="77777777" w:rsidR="00F8641A" w:rsidRDefault="00000000">
            <w:r>
              <w:t>8</w:t>
            </w:r>
          </w:p>
        </w:tc>
        <w:tc>
          <w:tcPr>
            <w:tcW w:w="3135" w:type="dxa"/>
          </w:tcPr>
          <w:p w14:paraId="27DFEDA4" w14:textId="77777777" w:rsidR="00F8641A" w:rsidRDefault="00000000">
            <w:r>
              <w:t>6.0%</w:t>
            </w:r>
          </w:p>
        </w:tc>
      </w:tr>
      <w:tr w:rsidR="00F8641A" w14:paraId="1D8EAA6B" w14:textId="77777777">
        <w:tc>
          <w:tcPr>
            <w:tcW w:w="3135" w:type="dxa"/>
          </w:tcPr>
          <w:p w14:paraId="75F3337A" w14:textId="77777777" w:rsidR="00F8641A" w:rsidRDefault="00000000">
            <w:r>
              <w:t>5-17 years</w:t>
            </w:r>
          </w:p>
        </w:tc>
        <w:tc>
          <w:tcPr>
            <w:tcW w:w="3135" w:type="dxa"/>
          </w:tcPr>
          <w:p w14:paraId="0E0AC230" w14:textId="77777777" w:rsidR="00F8641A" w:rsidRDefault="00000000">
            <w:r>
              <w:t>12</w:t>
            </w:r>
          </w:p>
        </w:tc>
        <w:tc>
          <w:tcPr>
            <w:tcW w:w="3135" w:type="dxa"/>
          </w:tcPr>
          <w:p w14:paraId="4DC87072" w14:textId="77777777" w:rsidR="00F8641A" w:rsidRDefault="00000000">
            <w:r>
              <w:t>9.0%</w:t>
            </w:r>
          </w:p>
        </w:tc>
      </w:tr>
      <w:tr w:rsidR="00F8641A" w14:paraId="2014D3BF" w14:textId="77777777">
        <w:tc>
          <w:tcPr>
            <w:tcW w:w="3135" w:type="dxa"/>
          </w:tcPr>
          <w:p w14:paraId="052C9F05" w14:textId="77777777" w:rsidR="00F8641A" w:rsidRDefault="00000000">
            <w:r>
              <w:t>18-34 years</w:t>
            </w:r>
          </w:p>
        </w:tc>
        <w:tc>
          <w:tcPr>
            <w:tcW w:w="3135" w:type="dxa"/>
          </w:tcPr>
          <w:p w14:paraId="1BDD359F" w14:textId="77777777" w:rsidR="00F8641A" w:rsidRDefault="00000000">
            <w:r>
              <w:t>22</w:t>
            </w:r>
          </w:p>
        </w:tc>
        <w:tc>
          <w:tcPr>
            <w:tcW w:w="3135" w:type="dxa"/>
          </w:tcPr>
          <w:p w14:paraId="105ECE16" w14:textId="77777777" w:rsidR="00F8641A" w:rsidRDefault="00000000">
            <w:r>
              <w:t>16.4%</w:t>
            </w:r>
          </w:p>
        </w:tc>
      </w:tr>
      <w:tr w:rsidR="00F8641A" w14:paraId="45C6842E" w14:textId="77777777">
        <w:tc>
          <w:tcPr>
            <w:tcW w:w="3135" w:type="dxa"/>
          </w:tcPr>
          <w:p w14:paraId="5A0C113D" w14:textId="77777777" w:rsidR="00F8641A" w:rsidRDefault="00000000">
            <w:r>
              <w:t>35-49 years</w:t>
            </w:r>
          </w:p>
        </w:tc>
        <w:tc>
          <w:tcPr>
            <w:tcW w:w="3135" w:type="dxa"/>
          </w:tcPr>
          <w:p w14:paraId="1BFE3C9C" w14:textId="77777777" w:rsidR="00F8641A" w:rsidRDefault="00000000">
            <w:r>
              <w:t>28</w:t>
            </w:r>
          </w:p>
        </w:tc>
        <w:tc>
          <w:tcPr>
            <w:tcW w:w="3135" w:type="dxa"/>
          </w:tcPr>
          <w:p w14:paraId="0367F249" w14:textId="77777777" w:rsidR="00F8641A" w:rsidRDefault="00000000">
            <w:r>
              <w:t>20.9%</w:t>
            </w:r>
          </w:p>
        </w:tc>
      </w:tr>
      <w:tr w:rsidR="00F8641A" w14:paraId="3DA75F49" w14:textId="77777777">
        <w:tc>
          <w:tcPr>
            <w:tcW w:w="3135" w:type="dxa"/>
          </w:tcPr>
          <w:p w14:paraId="6BC9B23F" w14:textId="77777777" w:rsidR="00F8641A" w:rsidRDefault="00000000">
            <w:r>
              <w:t>50-64 years</w:t>
            </w:r>
          </w:p>
        </w:tc>
        <w:tc>
          <w:tcPr>
            <w:tcW w:w="3135" w:type="dxa"/>
          </w:tcPr>
          <w:p w14:paraId="33C81D6A" w14:textId="77777777" w:rsidR="00F8641A" w:rsidRDefault="00000000">
            <w:r>
              <w:t>36</w:t>
            </w:r>
          </w:p>
        </w:tc>
        <w:tc>
          <w:tcPr>
            <w:tcW w:w="3135" w:type="dxa"/>
          </w:tcPr>
          <w:p w14:paraId="1F1D2F2C" w14:textId="77777777" w:rsidR="00F8641A" w:rsidRDefault="00000000">
            <w:r>
              <w:t>26.9%</w:t>
            </w:r>
          </w:p>
        </w:tc>
      </w:tr>
      <w:tr w:rsidR="00F8641A" w14:paraId="2FA32818" w14:textId="77777777">
        <w:tc>
          <w:tcPr>
            <w:tcW w:w="3135" w:type="dxa"/>
          </w:tcPr>
          <w:p w14:paraId="58FF451E" w14:textId="77777777" w:rsidR="00F8641A" w:rsidRDefault="00000000">
            <w:r>
              <w:t>65+ years</w:t>
            </w:r>
          </w:p>
        </w:tc>
        <w:tc>
          <w:tcPr>
            <w:tcW w:w="3135" w:type="dxa"/>
          </w:tcPr>
          <w:p w14:paraId="540B6252" w14:textId="77777777" w:rsidR="00F8641A" w:rsidRDefault="00000000">
            <w:r>
              <w:t>28</w:t>
            </w:r>
          </w:p>
        </w:tc>
        <w:tc>
          <w:tcPr>
            <w:tcW w:w="3135" w:type="dxa"/>
          </w:tcPr>
          <w:p w14:paraId="53C7B622" w14:textId="77777777" w:rsidR="00F8641A" w:rsidRDefault="00000000">
            <w:r>
              <w:t>20.9%</w:t>
            </w:r>
          </w:p>
        </w:tc>
      </w:tr>
      <w:tr w:rsidR="00F8641A" w14:paraId="19049C6A" w14:textId="77777777">
        <w:tc>
          <w:tcPr>
            <w:tcW w:w="3135" w:type="dxa"/>
          </w:tcPr>
          <w:p w14:paraId="2145F038" w14:textId="77777777" w:rsidR="00F8641A" w:rsidRDefault="00F8641A"/>
        </w:tc>
        <w:tc>
          <w:tcPr>
            <w:tcW w:w="3135" w:type="dxa"/>
          </w:tcPr>
          <w:p w14:paraId="131D6379" w14:textId="77777777" w:rsidR="00F8641A" w:rsidRDefault="00F8641A"/>
        </w:tc>
        <w:tc>
          <w:tcPr>
            <w:tcW w:w="3135" w:type="dxa"/>
          </w:tcPr>
          <w:p w14:paraId="697DC53D" w14:textId="77777777" w:rsidR="00F8641A" w:rsidRDefault="00F8641A"/>
        </w:tc>
      </w:tr>
    </w:tbl>
    <w:p w14:paraId="60F14D85" w14:textId="77777777" w:rsidR="00F8641A" w:rsidRDefault="00000000">
      <w:pPr>
        <w:pStyle w:val="Heading2Style"/>
      </w:pPr>
      <w:r>
        <w:t>Departmental Utilization</w:t>
      </w:r>
    </w:p>
    <w:p w14:paraId="2437DE4E" w14:textId="77777777" w:rsidR="00F8641A" w:rsidRDefault="00000000">
      <w:pPr>
        <w:pStyle w:val="NormalStyle"/>
      </w:pPr>
      <w:r>
        <w:t xml:space="preserve">Gastroenteritis cases were primarily managed in General Medicine, with 114 cases (85.1%) treated in this department. Pediatrics managed 11 cases (8.2%), and other specialties handled the </w:t>
      </w:r>
      <w:r>
        <w:lastRenderedPageBreak/>
        <w:t>remaining cases. This distribution reflects the primary care nature of gastroenteritis management in the inpatient setting.</w:t>
      </w:r>
    </w:p>
    <w:p w14:paraId="0E581AE6" w14:textId="77777777" w:rsidR="00F8641A" w:rsidRDefault="00000000">
      <w:pPr>
        <w:pStyle w:val="Heading2Style"/>
      </w:pPr>
      <w:r>
        <w:t>Table 4: Departmental Distribution of Gastroenteritis Cases</w:t>
      </w:r>
    </w:p>
    <w:tbl>
      <w:tblPr>
        <w:tblStyle w:val="TableGrid"/>
        <w:tblW w:w="0" w:type="auto"/>
        <w:tblLook w:val="04A0" w:firstRow="1" w:lastRow="0" w:firstColumn="1" w:lastColumn="0" w:noHBand="0" w:noVBand="1"/>
      </w:tblPr>
      <w:tblGrid>
        <w:gridCol w:w="3135"/>
        <w:gridCol w:w="3135"/>
        <w:gridCol w:w="3135"/>
      </w:tblGrid>
      <w:tr w:rsidR="00F8641A" w14:paraId="4B66D1A4" w14:textId="77777777">
        <w:tc>
          <w:tcPr>
            <w:tcW w:w="3135" w:type="dxa"/>
          </w:tcPr>
          <w:p w14:paraId="650CA4BF" w14:textId="77777777" w:rsidR="00F8641A" w:rsidRDefault="00000000">
            <w:r>
              <w:t>General Medicine</w:t>
            </w:r>
          </w:p>
        </w:tc>
        <w:tc>
          <w:tcPr>
            <w:tcW w:w="3135" w:type="dxa"/>
          </w:tcPr>
          <w:p w14:paraId="31192042" w14:textId="77777777" w:rsidR="00F8641A" w:rsidRDefault="00000000">
            <w:r>
              <w:t>114</w:t>
            </w:r>
          </w:p>
        </w:tc>
        <w:tc>
          <w:tcPr>
            <w:tcW w:w="3135" w:type="dxa"/>
          </w:tcPr>
          <w:p w14:paraId="2BF75AE5" w14:textId="77777777" w:rsidR="00F8641A" w:rsidRDefault="00000000">
            <w:r>
              <w:t>85.1%</w:t>
            </w:r>
          </w:p>
        </w:tc>
      </w:tr>
      <w:tr w:rsidR="00F8641A" w14:paraId="07BD1A25" w14:textId="77777777">
        <w:tc>
          <w:tcPr>
            <w:tcW w:w="3135" w:type="dxa"/>
          </w:tcPr>
          <w:p w14:paraId="4285613C" w14:textId="77777777" w:rsidR="00F8641A" w:rsidRDefault="00000000">
            <w:r>
              <w:t>Pediatrics</w:t>
            </w:r>
          </w:p>
        </w:tc>
        <w:tc>
          <w:tcPr>
            <w:tcW w:w="3135" w:type="dxa"/>
          </w:tcPr>
          <w:p w14:paraId="11F020C7" w14:textId="77777777" w:rsidR="00F8641A" w:rsidRDefault="00000000">
            <w:r>
              <w:t>11</w:t>
            </w:r>
          </w:p>
        </w:tc>
        <w:tc>
          <w:tcPr>
            <w:tcW w:w="3135" w:type="dxa"/>
          </w:tcPr>
          <w:p w14:paraId="44262DF0" w14:textId="77777777" w:rsidR="00F8641A" w:rsidRDefault="00000000">
            <w:r>
              <w:t>8.2%</w:t>
            </w:r>
          </w:p>
        </w:tc>
      </w:tr>
      <w:tr w:rsidR="00F8641A" w14:paraId="7CDCF50E" w14:textId="77777777">
        <w:tc>
          <w:tcPr>
            <w:tcW w:w="3135" w:type="dxa"/>
          </w:tcPr>
          <w:p w14:paraId="7CA0BBA1" w14:textId="77777777" w:rsidR="00F8641A" w:rsidRDefault="00000000">
            <w:r>
              <w:t>Other Specialties</w:t>
            </w:r>
          </w:p>
        </w:tc>
        <w:tc>
          <w:tcPr>
            <w:tcW w:w="3135" w:type="dxa"/>
          </w:tcPr>
          <w:p w14:paraId="3D4B068D" w14:textId="77777777" w:rsidR="00F8641A" w:rsidRDefault="00000000">
            <w:r>
              <w:t>9</w:t>
            </w:r>
          </w:p>
        </w:tc>
        <w:tc>
          <w:tcPr>
            <w:tcW w:w="3135" w:type="dxa"/>
          </w:tcPr>
          <w:p w14:paraId="02471AD4" w14:textId="77777777" w:rsidR="00F8641A" w:rsidRDefault="00000000">
            <w:r>
              <w:t>6.7%</w:t>
            </w:r>
          </w:p>
        </w:tc>
      </w:tr>
      <w:tr w:rsidR="00F8641A" w14:paraId="36D00D07" w14:textId="77777777">
        <w:tc>
          <w:tcPr>
            <w:tcW w:w="3135" w:type="dxa"/>
          </w:tcPr>
          <w:p w14:paraId="43B20336" w14:textId="77777777" w:rsidR="00F8641A" w:rsidRDefault="00F8641A"/>
        </w:tc>
        <w:tc>
          <w:tcPr>
            <w:tcW w:w="3135" w:type="dxa"/>
          </w:tcPr>
          <w:p w14:paraId="1F321964" w14:textId="77777777" w:rsidR="00F8641A" w:rsidRDefault="00F8641A"/>
        </w:tc>
        <w:tc>
          <w:tcPr>
            <w:tcW w:w="3135" w:type="dxa"/>
          </w:tcPr>
          <w:p w14:paraId="6004E4F2" w14:textId="77777777" w:rsidR="00F8641A" w:rsidRDefault="00F8641A"/>
        </w:tc>
      </w:tr>
    </w:tbl>
    <w:p w14:paraId="66909BB5" w14:textId="77777777" w:rsidR="00F8641A" w:rsidRDefault="00000000">
      <w:pPr>
        <w:pStyle w:val="Heading2Style"/>
      </w:pPr>
      <w:r>
        <w:t>Length of Stay Analysis</w:t>
      </w:r>
    </w:p>
    <w:p w14:paraId="54B26A9C" w14:textId="77777777" w:rsidR="00F8641A" w:rsidRDefault="00000000">
      <w:pPr>
        <w:pStyle w:val="NormalStyle"/>
      </w:pPr>
      <w:r>
        <w:t>Detailed analysis of length of stay (LOS) for gastroenteritis/ADD cases revealed important clinical insights. Among 13 ADD cases with valid LOS data, the mean length of stay was 40.3 days (SD: 27.9 days) with a median of 34.1 days (range: 6.8-91.6 days). This extended LOS suggests that hospitalized ADD cases represent severe presentations requiring intensive management.</w:t>
      </w:r>
    </w:p>
    <w:p w14:paraId="5BB0C62D" w14:textId="77777777" w:rsidR="00F8641A" w:rsidRDefault="00000000">
      <w:pPr>
        <w:pStyle w:val="Heading2Style"/>
      </w:pPr>
      <w:r>
        <w:t>Table 5: Length of Stay Analysis for ADD Cases</w:t>
      </w:r>
    </w:p>
    <w:tbl>
      <w:tblPr>
        <w:tblStyle w:val="TableGrid"/>
        <w:tblW w:w="0" w:type="auto"/>
        <w:tblLook w:val="04A0" w:firstRow="1" w:lastRow="0" w:firstColumn="1" w:lastColumn="0" w:noHBand="0" w:noVBand="1"/>
      </w:tblPr>
      <w:tblGrid>
        <w:gridCol w:w="2351"/>
        <w:gridCol w:w="2351"/>
        <w:gridCol w:w="2351"/>
        <w:gridCol w:w="2351"/>
      </w:tblGrid>
      <w:tr w:rsidR="00F8641A" w14:paraId="69FC6536" w14:textId="77777777">
        <w:tc>
          <w:tcPr>
            <w:tcW w:w="2351" w:type="dxa"/>
          </w:tcPr>
          <w:p w14:paraId="27AF8E95" w14:textId="77777777" w:rsidR="00F8641A" w:rsidRDefault="00000000">
            <w:r>
              <w:t>1 day</w:t>
            </w:r>
          </w:p>
        </w:tc>
        <w:tc>
          <w:tcPr>
            <w:tcW w:w="2351" w:type="dxa"/>
          </w:tcPr>
          <w:p w14:paraId="14FDA2A1" w14:textId="77777777" w:rsidR="00F8641A" w:rsidRDefault="00000000">
            <w:r>
              <w:t>0</w:t>
            </w:r>
          </w:p>
        </w:tc>
        <w:tc>
          <w:tcPr>
            <w:tcW w:w="2351" w:type="dxa"/>
          </w:tcPr>
          <w:p w14:paraId="6154AC50" w14:textId="77777777" w:rsidR="00F8641A" w:rsidRDefault="00000000">
            <w:r>
              <w:t>0.0%</w:t>
            </w:r>
          </w:p>
        </w:tc>
        <w:tc>
          <w:tcPr>
            <w:tcW w:w="2351" w:type="dxa"/>
          </w:tcPr>
          <w:p w14:paraId="08637140" w14:textId="77777777" w:rsidR="00F8641A" w:rsidRDefault="00000000">
            <w:r>
              <w:t>-</w:t>
            </w:r>
          </w:p>
        </w:tc>
      </w:tr>
      <w:tr w:rsidR="00F8641A" w14:paraId="0EB8CF5D" w14:textId="77777777">
        <w:tc>
          <w:tcPr>
            <w:tcW w:w="2351" w:type="dxa"/>
          </w:tcPr>
          <w:p w14:paraId="12C3B4F7" w14:textId="77777777" w:rsidR="00F8641A" w:rsidRDefault="00000000">
            <w:r>
              <w:t>2-3 days</w:t>
            </w:r>
          </w:p>
        </w:tc>
        <w:tc>
          <w:tcPr>
            <w:tcW w:w="2351" w:type="dxa"/>
          </w:tcPr>
          <w:p w14:paraId="7902343B" w14:textId="77777777" w:rsidR="00F8641A" w:rsidRDefault="00000000">
            <w:r>
              <w:t>0</w:t>
            </w:r>
          </w:p>
        </w:tc>
        <w:tc>
          <w:tcPr>
            <w:tcW w:w="2351" w:type="dxa"/>
          </w:tcPr>
          <w:p w14:paraId="649AA6BB" w14:textId="77777777" w:rsidR="00F8641A" w:rsidRDefault="00000000">
            <w:r>
              <w:t>0.0%</w:t>
            </w:r>
          </w:p>
        </w:tc>
        <w:tc>
          <w:tcPr>
            <w:tcW w:w="2351" w:type="dxa"/>
          </w:tcPr>
          <w:p w14:paraId="1BFB31F9" w14:textId="77777777" w:rsidR="00F8641A" w:rsidRDefault="00000000">
            <w:r>
              <w:t>-</w:t>
            </w:r>
          </w:p>
        </w:tc>
      </w:tr>
      <w:tr w:rsidR="00F8641A" w14:paraId="78F3693A" w14:textId="77777777">
        <w:tc>
          <w:tcPr>
            <w:tcW w:w="2351" w:type="dxa"/>
          </w:tcPr>
          <w:p w14:paraId="62F7D536" w14:textId="77777777" w:rsidR="00F8641A" w:rsidRDefault="00000000">
            <w:r>
              <w:t>4-7 days</w:t>
            </w:r>
          </w:p>
        </w:tc>
        <w:tc>
          <w:tcPr>
            <w:tcW w:w="2351" w:type="dxa"/>
          </w:tcPr>
          <w:p w14:paraId="58BB5BD2" w14:textId="77777777" w:rsidR="00F8641A" w:rsidRDefault="00000000">
            <w:r>
              <w:t>1</w:t>
            </w:r>
          </w:p>
        </w:tc>
        <w:tc>
          <w:tcPr>
            <w:tcW w:w="2351" w:type="dxa"/>
          </w:tcPr>
          <w:p w14:paraId="26BE7403" w14:textId="77777777" w:rsidR="00F8641A" w:rsidRDefault="00000000">
            <w:r>
              <w:t>7.7%</w:t>
            </w:r>
          </w:p>
        </w:tc>
        <w:tc>
          <w:tcPr>
            <w:tcW w:w="2351" w:type="dxa"/>
          </w:tcPr>
          <w:p w14:paraId="73756011" w14:textId="77777777" w:rsidR="00F8641A" w:rsidRDefault="00000000">
            <w:r>
              <w:t>6.8</w:t>
            </w:r>
          </w:p>
        </w:tc>
      </w:tr>
      <w:tr w:rsidR="00F8641A" w14:paraId="0E62B44F" w14:textId="77777777">
        <w:tc>
          <w:tcPr>
            <w:tcW w:w="2351" w:type="dxa"/>
          </w:tcPr>
          <w:p w14:paraId="2D18DC6B" w14:textId="77777777" w:rsidR="00F8641A" w:rsidRDefault="00000000">
            <w:r>
              <w:t>8-14 days</w:t>
            </w:r>
          </w:p>
        </w:tc>
        <w:tc>
          <w:tcPr>
            <w:tcW w:w="2351" w:type="dxa"/>
          </w:tcPr>
          <w:p w14:paraId="2DCCC293" w14:textId="77777777" w:rsidR="00F8641A" w:rsidRDefault="00000000">
            <w:r>
              <w:t>2</w:t>
            </w:r>
          </w:p>
        </w:tc>
        <w:tc>
          <w:tcPr>
            <w:tcW w:w="2351" w:type="dxa"/>
          </w:tcPr>
          <w:p w14:paraId="235142BE" w14:textId="77777777" w:rsidR="00F8641A" w:rsidRDefault="00000000">
            <w:r>
              <w:t>15.4%</w:t>
            </w:r>
          </w:p>
        </w:tc>
        <w:tc>
          <w:tcPr>
            <w:tcW w:w="2351" w:type="dxa"/>
          </w:tcPr>
          <w:p w14:paraId="7F7A357B" w14:textId="77777777" w:rsidR="00F8641A" w:rsidRDefault="00000000">
            <w:r>
              <w:t>12.5</w:t>
            </w:r>
          </w:p>
        </w:tc>
      </w:tr>
      <w:tr w:rsidR="00F8641A" w14:paraId="708D6C4E" w14:textId="77777777">
        <w:tc>
          <w:tcPr>
            <w:tcW w:w="2351" w:type="dxa"/>
          </w:tcPr>
          <w:p w14:paraId="7BAC01A7" w14:textId="77777777" w:rsidR="00F8641A" w:rsidRDefault="00000000">
            <w:r>
              <w:t>15-30 days</w:t>
            </w:r>
          </w:p>
        </w:tc>
        <w:tc>
          <w:tcPr>
            <w:tcW w:w="2351" w:type="dxa"/>
          </w:tcPr>
          <w:p w14:paraId="10C86466" w14:textId="77777777" w:rsidR="00F8641A" w:rsidRDefault="00000000">
            <w:r>
              <w:t>3</w:t>
            </w:r>
          </w:p>
        </w:tc>
        <w:tc>
          <w:tcPr>
            <w:tcW w:w="2351" w:type="dxa"/>
          </w:tcPr>
          <w:p w14:paraId="72C052ED" w14:textId="77777777" w:rsidR="00F8641A" w:rsidRDefault="00000000">
            <w:r>
              <w:t>23.1%</w:t>
            </w:r>
          </w:p>
        </w:tc>
        <w:tc>
          <w:tcPr>
            <w:tcW w:w="2351" w:type="dxa"/>
          </w:tcPr>
          <w:p w14:paraId="573A3EF0" w14:textId="77777777" w:rsidR="00F8641A" w:rsidRDefault="00000000">
            <w:r>
              <w:t>22.3</w:t>
            </w:r>
          </w:p>
        </w:tc>
      </w:tr>
      <w:tr w:rsidR="00F8641A" w14:paraId="1034CE16" w14:textId="77777777">
        <w:tc>
          <w:tcPr>
            <w:tcW w:w="2351" w:type="dxa"/>
          </w:tcPr>
          <w:p w14:paraId="7C80D47C" w14:textId="77777777" w:rsidR="00F8641A" w:rsidRDefault="00000000">
            <w:r>
              <w:t>30+ days</w:t>
            </w:r>
          </w:p>
        </w:tc>
        <w:tc>
          <w:tcPr>
            <w:tcW w:w="2351" w:type="dxa"/>
          </w:tcPr>
          <w:p w14:paraId="75648577" w14:textId="77777777" w:rsidR="00F8641A" w:rsidRDefault="00000000">
            <w:r>
              <w:t>7</w:t>
            </w:r>
          </w:p>
        </w:tc>
        <w:tc>
          <w:tcPr>
            <w:tcW w:w="2351" w:type="dxa"/>
          </w:tcPr>
          <w:p w14:paraId="2C612024" w14:textId="77777777" w:rsidR="00F8641A" w:rsidRDefault="00000000">
            <w:r>
              <w:t>53.8%</w:t>
            </w:r>
          </w:p>
        </w:tc>
        <w:tc>
          <w:tcPr>
            <w:tcW w:w="2351" w:type="dxa"/>
          </w:tcPr>
          <w:p w14:paraId="251ACCF0" w14:textId="77777777" w:rsidR="00F8641A" w:rsidRDefault="00000000">
            <w:r>
              <w:t>61.8</w:t>
            </w:r>
          </w:p>
        </w:tc>
      </w:tr>
      <w:tr w:rsidR="00F8641A" w14:paraId="51349820" w14:textId="77777777">
        <w:tc>
          <w:tcPr>
            <w:tcW w:w="2351" w:type="dxa"/>
          </w:tcPr>
          <w:p w14:paraId="54D2CCA0" w14:textId="77777777" w:rsidR="00F8641A" w:rsidRDefault="00F8641A"/>
        </w:tc>
        <w:tc>
          <w:tcPr>
            <w:tcW w:w="2351" w:type="dxa"/>
          </w:tcPr>
          <w:p w14:paraId="3600FD87" w14:textId="77777777" w:rsidR="00F8641A" w:rsidRDefault="00F8641A"/>
        </w:tc>
        <w:tc>
          <w:tcPr>
            <w:tcW w:w="2351" w:type="dxa"/>
          </w:tcPr>
          <w:p w14:paraId="5F0AF0FE" w14:textId="77777777" w:rsidR="00F8641A" w:rsidRDefault="00F8641A"/>
        </w:tc>
        <w:tc>
          <w:tcPr>
            <w:tcW w:w="2351" w:type="dxa"/>
          </w:tcPr>
          <w:p w14:paraId="41CC2F05" w14:textId="77777777" w:rsidR="00F8641A" w:rsidRDefault="00F8641A"/>
        </w:tc>
      </w:tr>
    </w:tbl>
    <w:p w14:paraId="69BCDE23" w14:textId="77777777" w:rsidR="00F8641A" w:rsidRDefault="00000000">
      <w:pPr>
        <w:pStyle w:val="NormalStyle"/>
      </w:pPr>
      <w:r>
        <w:t>The LOS distribution showed that 53.8% of ADD cases had extended hospitalizations (&gt;30 days), with mean LOS of 61.8 days in this group. Age group analysis revealed that the 18-34 year age group had the longest average LOS (61.3 days), followed by the 65+ group (54.2 days). Male patients had longer average LOS (47.2 days) compared to females (32.9 days).</w:t>
      </w:r>
    </w:p>
    <w:p w14:paraId="0DA2CEBE" w14:textId="77777777" w:rsidR="00F8641A" w:rsidRDefault="00000000">
      <w:pPr>
        <w:pStyle w:val="NormalStyle"/>
      </w:pPr>
      <w:r>
        <w:t>This extended LOS pattern for hospitalized ADD cases suggests these represent severe, complicated presentations requiring prolonged inpatient management, possibly due to complications such as severe dehydration, electrolyte imbalances, or comorbidities.</w:t>
      </w:r>
    </w:p>
    <w:p w14:paraId="39E20353" w14:textId="77777777" w:rsidR="00F8641A" w:rsidRDefault="00000000">
      <w:pPr>
        <w:pStyle w:val="Heading2Style"/>
      </w:pPr>
      <w:r>
        <w:t>Clinical Outcomes</w:t>
      </w:r>
    </w:p>
    <w:p w14:paraId="2EA658C0" w14:textId="77777777" w:rsidR="00F8641A" w:rsidRDefault="00000000">
      <w:pPr>
        <w:pStyle w:val="NormalStyle"/>
      </w:pPr>
      <w:r>
        <w:t>The detailed LOS analysis indicates that hospitalized gastroenteritis/ADD cases at SIMSRH represent severe presentations requiring extended inpatient care, contrasting with typical outpatient management of milder cases. This highlights the importance of tertiary care facilities in managing complex gastroenteritis cases in the region.</w:t>
      </w:r>
    </w:p>
    <w:p w14:paraId="3EA7902C" w14:textId="77777777" w:rsidR="00F8641A" w:rsidRDefault="00000000">
      <w:r>
        <w:br w:type="page"/>
      </w:r>
    </w:p>
    <w:p w14:paraId="3D52BA55" w14:textId="77777777" w:rsidR="00F8641A" w:rsidRDefault="00000000">
      <w:pPr>
        <w:pStyle w:val="Heading2Style"/>
      </w:pPr>
      <w:r>
        <w:lastRenderedPageBreak/>
        <w:t>Length of Stay Analysis</w:t>
      </w:r>
    </w:p>
    <w:p w14:paraId="29C31A42" w14:textId="77777777" w:rsidR="00F8641A" w:rsidRDefault="00000000">
      <w:pPr>
        <w:pStyle w:val="NormalStyle"/>
      </w:pPr>
      <w:r>
        <w:t>Comprehensive LOS analysis revealed significant clinical insights into the severity and resource utilization of hospitalized AGE/ADD cases. Among 13 cases with valid LOS data, the analysis demonstrated extended hospitalization patterns that underscore the complexity of inpatient gastroenteritis management. The mean LOS of 40.3 days (median 34.1 days) indicates that these cases require prolonged medical supervision and intensive therapeutic interventions.</w:t>
      </w:r>
    </w:p>
    <w:p w14:paraId="3CD3257A" w14:textId="77777777" w:rsidR="00F8641A" w:rsidRDefault="00000000">
      <w:pPr>
        <w:pStyle w:val="NormalStyle"/>
      </w:pPr>
      <w:r>
        <w:t>The LOS distribution showed a wide range (6.8-91.6 days), with 53.8% of cases requiring hospitalization longer than 30 days. This extended LOS pattern suggests that hospitalized gastroenteritis represents a distinct clinical entity requiring specialized care protocols, nutritional support, and monitoring for complications. The prolonged hospitalization also has significant implications for healthcare resource utilization and cost containment strategies.</w:t>
      </w:r>
    </w:p>
    <w:tbl>
      <w:tblPr>
        <w:tblStyle w:val="TableGrid"/>
        <w:tblW w:w="0" w:type="auto"/>
        <w:tblLook w:val="04A0" w:firstRow="1" w:lastRow="0" w:firstColumn="1" w:lastColumn="0" w:noHBand="0" w:noVBand="1"/>
      </w:tblPr>
      <w:tblGrid>
        <w:gridCol w:w="2351"/>
        <w:gridCol w:w="2351"/>
        <w:gridCol w:w="2351"/>
        <w:gridCol w:w="2351"/>
      </w:tblGrid>
      <w:tr w:rsidR="00F8641A" w14:paraId="4DEAA47A" w14:textId="77777777">
        <w:tc>
          <w:tcPr>
            <w:tcW w:w="2351" w:type="dxa"/>
          </w:tcPr>
          <w:p w14:paraId="0B518873" w14:textId="77777777" w:rsidR="00F8641A" w:rsidRDefault="00000000">
            <w:r>
              <w:t>LOS Category</w:t>
            </w:r>
          </w:p>
        </w:tc>
        <w:tc>
          <w:tcPr>
            <w:tcW w:w="2351" w:type="dxa"/>
          </w:tcPr>
          <w:p w14:paraId="51EC500F" w14:textId="77777777" w:rsidR="00F8641A" w:rsidRDefault="00000000">
            <w:r>
              <w:t>Count</w:t>
            </w:r>
          </w:p>
        </w:tc>
        <w:tc>
          <w:tcPr>
            <w:tcW w:w="2351" w:type="dxa"/>
          </w:tcPr>
          <w:p w14:paraId="71C836B3" w14:textId="77777777" w:rsidR="00F8641A" w:rsidRDefault="00000000">
            <w:r>
              <w:t>Percentage</w:t>
            </w:r>
          </w:p>
        </w:tc>
        <w:tc>
          <w:tcPr>
            <w:tcW w:w="2351" w:type="dxa"/>
          </w:tcPr>
          <w:p w14:paraId="28E75668" w14:textId="77777777" w:rsidR="00F8641A" w:rsidRDefault="00000000">
            <w:r>
              <w:t>Mean LOS (days)</w:t>
            </w:r>
          </w:p>
        </w:tc>
      </w:tr>
      <w:tr w:rsidR="00F8641A" w14:paraId="3775929E" w14:textId="77777777">
        <w:tc>
          <w:tcPr>
            <w:tcW w:w="2351" w:type="dxa"/>
          </w:tcPr>
          <w:p w14:paraId="3DB4CE36" w14:textId="77777777" w:rsidR="00F8641A" w:rsidRDefault="00000000">
            <w:r>
              <w:t>1 day</w:t>
            </w:r>
          </w:p>
        </w:tc>
        <w:tc>
          <w:tcPr>
            <w:tcW w:w="2351" w:type="dxa"/>
          </w:tcPr>
          <w:p w14:paraId="5C57CB0D" w14:textId="77777777" w:rsidR="00F8641A" w:rsidRDefault="00000000">
            <w:r>
              <w:t>0</w:t>
            </w:r>
          </w:p>
        </w:tc>
        <w:tc>
          <w:tcPr>
            <w:tcW w:w="2351" w:type="dxa"/>
          </w:tcPr>
          <w:p w14:paraId="2F159EF8" w14:textId="77777777" w:rsidR="00F8641A" w:rsidRDefault="00000000">
            <w:r>
              <w:t>0.0%</w:t>
            </w:r>
          </w:p>
        </w:tc>
        <w:tc>
          <w:tcPr>
            <w:tcW w:w="2351" w:type="dxa"/>
          </w:tcPr>
          <w:p w14:paraId="6B80637D" w14:textId="77777777" w:rsidR="00F8641A" w:rsidRDefault="00000000">
            <w:r>
              <w:t>-</w:t>
            </w:r>
          </w:p>
        </w:tc>
      </w:tr>
      <w:tr w:rsidR="00F8641A" w14:paraId="25A2034E" w14:textId="77777777">
        <w:tc>
          <w:tcPr>
            <w:tcW w:w="2351" w:type="dxa"/>
          </w:tcPr>
          <w:p w14:paraId="348699EE" w14:textId="77777777" w:rsidR="00F8641A" w:rsidRDefault="00000000">
            <w:r>
              <w:t>2-3 days</w:t>
            </w:r>
          </w:p>
        </w:tc>
        <w:tc>
          <w:tcPr>
            <w:tcW w:w="2351" w:type="dxa"/>
          </w:tcPr>
          <w:p w14:paraId="2ACC13D5" w14:textId="77777777" w:rsidR="00F8641A" w:rsidRDefault="00000000">
            <w:r>
              <w:t>0</w:t>
            </w:r>
          </w:p>
        </w:tc>
        <w:tc>
          <w:tcPr>
            <w:tcW w:w="2351" w:type="dxa"/>
          </w:tcPr>
          <w:p w14:paraId="72219A15" w14:textId="77777777" w:rsidR="00F8641A" w:rsidRDefault="00000000">
            <w:r>
              <w:t>0.0%</w:t>
            </w:r>
          </w:p>
        </w:tc>
        <w:tc>
          <w:tcPr>
            <w:tcW w:w="2351" w:type="dxa"/>
          </w:tcPr>
          <w:p w14:paraId="0E211151" w14:textId="77777777" w:rsidR="00F8641A" w:rsidRDefault="00000000">
            <w:r>
              <w:t>-</w:t>
            </w:r>
          </w:p>
        </w:tc>
      </w:tr>
      <w:tr w:rsidR="00F8641A" w14:paraId="3A071E9C" w14:textId="77777777">
        <w:tc>
          <w:tcPr>
            <w:tcW w:w="2351" w:type="dxa"/>
          </w:tcPr>
          <w:p w14:paraId="536587A0" w14:textId="77777777" w:rsidR="00F8641A" w:rsidRDefault="00000000">
            <w:r>
              <w:t>4-7 days</w:t>
            </w:r>
          </w:p>
        </w:tc>
        <w:tc>
          <w:tcPr>
            <w:tcW w:w="2351" w:type="dxa"/>
          </w:tcPr>
          <w:p w14:paraId="7910D91E" w14:textId="77777777" w:rsidR="00F8641A" w:rsidRDefault="00000000">
            <w:r>
              <w:t>1</w:t>
            </w:r>
          </w:p>
        </w:tc>
        <w:tc>
          <w:tcPr>
            <w:tcW w:w="2351" w:type="dxa"/>
          </w:tcPr>
          <w:p w14:paraId="1666457E" w14:textId="77777777" w:rsidR="00F8641A" w:rsidRDefault="00000000">
            <w:r>
              <w:t>7.7%</w:t>
            </w:r>
          </w:p>
        </w:tc>
        <w:tc>
          <w:tcPr>
            <w:tcW w:w="2351" w:type="dxa"/>
          </w:tcPr>
          <w:p w14:paraId="6C84B455" w14:textId="77777777" w:rsidR="00F8641A" w:rsidRDefault="00000000">
            <w:r>
              <w:t>6.8</w:t>
            </w:r>
          </w:p>
        </w:tc>
      </w:tr>
      <w:tr w:rsidR="00F8641A" w14:paraId="5B9A1045" w14:textId="77777777">
        <w:tc>
          <w:tcPr>
            <w:tcW w:w="2351" w:type="dxa"/>
          </w:tcPr>
          <w:p w14:paraId="3E2E18B8" w14:textId="77777777" w:rsidR="00F8641A" w:rsidRDefault="00000000">
            <w:r>
              <w:t>8-14 days</w:t>
            </w:r>
          </w:p>
        </w:tc>
        <w:tc>
          <w:tcPr>
            <w:tcW w:w="2351" w:type="dxa"/>
          </w:tcPr>
          <w:p w14:paraId="097720B7" w14:textId="77777777" w:rsidR="00F8641A" w:rsidRDefault="00000000">
            <w:r>
              <w:t>2</w:t>
            </w:r>
          </w:p>
        </w:tc>
        <w:tc>
          <w:tcPr>
            <w:tcW w:w="2351" w:type="dxa"/>
          </w:tcPr>
          <w:p w14:paraId="3A2EC61A" w14:textId="77777777" w:rsidR="00F8641A" w:rsidRDefault="00000000">
            <w:r>
              <w:t>15.4%</w:t>
            </w:r>
          </w:p>
        </w:tc>
        <w:tc>
          <w:tcPr>
            <w:tcW w:w="2351" w:type="dxa"/>
          </w:tcPr>
          <w:p w14:paraId="2F72A113" w14:textId="77777777" w:rsidR="00F8641A" w:rsidRDefault="00000000">
            <w:r>
              <w:t>12.5</w:t>
            </w:r>
          </w:p>
        </w:tc>
      </w:tr>
      <w:tr w:rsidR="00F8641A" w14:paraId="4F87F9A9" w14:textId="77777777">
        <w:tc>
          <w:tcPr>
            <w:tcW w:w="2351" w:type="dxa"/>
          </w:tcPr>
          <w:p w14:paraId="406F1403" w14:textId="77777777" w:rsidR="00F8641A" w:rsidRDefault="00000000">
            <w:r>
              <w:t>15-30 days</w:t>
            </w:r>
          </w:p>
        </w:tc>
        <w:tc>
          <w:tcPr>
            <w:tcW w:w="2351" w:type="dxa"/>
          </w:tcPr>
          <w:p w14:paraId="005F94FB" w14:textId="77777777" w:rsidR="00F8641A" w:rsidRDefault="00000000">
            <w:r>
              <w:t>3</w:t>
            </w:r>
          </w:p>
        </w:tc>
        <w:tc>
          <w:tcPr>
            <w:tcW w:w="2351" w:type="dxa"/>
          </w:tcPr>
          <w:p w14:paraId="6DE30526" w14:textId="77777777" w:rsidR="00F8641A" w:rsidRDefault="00000000">
            <w:r>
              <w:t>23.1%</w:t>
            </w:r>
          </w:p>
        </w:tc>
        <w:tc>
          <w:tcPr>
            <w:tcW w:w="2351" w:type="dxa"/>
          </w:tcPr>
          <w:p w14:paraId="394963D7" w14:textId="77777777" w:rsidR="00F8641A" w:rsidRDefault="00000000">
            <w:r>
              <w:t>22.3</w:t>
            </w:r>
          </w:p>
        </w:tc>
      </w:tr>
      <w:tr w:rsidR="00F8641A" w14:paraId="39DCA421" w14:textId="77777777">
        <w:tc>
          <w:tcPr>
            <w:tcW w:w="2351" w:type="dxa"/>
          </w:tcPr>
          <w:p w14:paraId="2E8197F8" w14:textId="77777777" w:rsidR="00F8641A" w:rsidRDefault="00000000">
            <w:r>
              <w:t>30+ days</w:t>
            </w:r>
          </w:p>
        </w:tc>
        <w:tc>
          <w:tcPr>
            <w:tcW w:w="2351" w:type="dxa"/>
          </w:tcPr>
          <w:p w14:paraId="3CAFDB30" w14:textId="77777777" w:rsidR="00F8641A" w:rsidRDefault="00000000">
            <w:r>
              <w:t>7</w:t>
            </w:r>
          </w:p>
        </w:tc>
        <w:tc>
          <w:tcPr>
            <w:tcW w:w="2351" w:type="dxa"/>
          </w:tcPr>
          <w:p w14:paraId="41788EF6" w14:textId="77777777" w:rsidR="00F8641A" w:rsidRDefault="00000000">
            <w:r>
              <w:t>53.8%</w:t>
            </w:r>
          </w:p>
        </w:tc>
        <w:tc>
          <w:tcPr>
            <w:tcW w:w="2351" w:type="dxa"/>
          </w:tcPr>
          <w:p w14:paraId="49115AFE" w14:textId="77777777" w:rsidR="00F8641A" w:rsidRDefault="00000000">
            <w:r>
              <w:t>61.8</w:t>
            </w:r>
          </w:p>
        </w:tc>
      </w:tr>
    </w:tbl>
    <w:p w14:paraId="6091685E" w14:textId="77777777" w:rsidR="00F8641A" w:rsidRDefault="00000000">
      <w:pPr>
        <w:pStyle w:val="NormalStyle"/>
      </w:pPr>
      <w:r>
        <w:t>Table 4: Length of Stay Distribution by Categories</w:t>
      </w:r>
    </w:p>
    <w:p w14:paraId="455DCAF2" w14:textId="77777777" w:rsidR="00F8641A" w:rsidRDefault="00000000">
      <w:pPr>
        <w:pStyle w:val="Heading2Style"/>
      </w:pPr>
      <w:r>
        <w:t>Demographic Variations in Length of Stay</w:t>
      </w:r>
    </w:p>
    <w:p w14:paraId="3A3F75DD" w14:textId="77777777" w:rsidR="00F8641A" w:rsidRDefault="00000000">
      <w:pPr>
        <w:pStyle w:val="NormalStyle"/>
      </w:pPr>
      <w:r>
        <w:t>Analysis across demographic subgroups revealed significant variations in LOS patterns. Male patients demonstrated longer average hospitalization (47.2 days) compared to females (32.9 days), suggesting gender differences in clinical severity or healthcare-seeking patterns. Age-specific analysis showed the longest LOS in the 18-34 year age group (61.3 days), followed by the elderly population (54.2 days), indicating that young adults and geriatric patients require the most intensive and prolonged gastroenteritis management.</w:t>
      </w:r>
    </w:p>
    <w:tbl>
      <w:tblPr>
        <w:tblStyle w:val="TableGrid"/>
        <w:tblW w:w="0" w:type="auto"/>
        <w:tblLook w:val="04A0" w:firstRow="1" w:lastRow="0" w:firstColumn="1" w:lastColumn="0" w:noHBand="0" w:noVBand="1"/>
      </w:tblPr>
      <w:tblGrid>
        <w:gridCol w:w="2351"/>
        <w:gridCol w:w="2351"/>
        <w:gridCol w:w="2351"/>
        <w:gridCol w:w="2351"/>
      </w:tblGrid>
      <w:tr w:rsidR="00F8641A" w14:paraId="6D6A7707" w14:textId="77777777">
        <w:tc>
          <w:tcPr>
            <w:tcW w:w="2351" w:type="dxa"/>
          </w:tcPr>
          <w:p w14:paraId="2F9971DC" w14:textId="77777777" w:rsidR="00F8641A" w:rsidRDefault="00000000">
            <w:r>
              <w:t>Subgroup</w:t>
            </w:r>
          </w:p>
        </w:tc>
        <w:tc>
          <w:tcPr>
            <w:tcW w:w="2351" w:type="dxa"/>
          </w:tcPr>
          <w:p w14:paraId="2CB1BED8" w14:textId="77777777" w:rsidR="00F8641A" w:rsidRDefault="00000000">
            <w:r>
              <w:t>Mean LOS (days)</w:t>
            </w:r>
          </w:p>
        </w:tc>
        <w:tc>
          <w:tcPr>
            <w:tcW w:w="2351" w:type="dxa"/>
          </w:tcPr>
          <w:p w14:paraId="39F3279B" w14:textId="77777777" w:rsidR="00F8641A" w:rsidRDefault="00000000">
            <w:r>
              <w:t>Median LOS (days)</w:t>
            </w:r>
          </w:p>
        </w:tc>
        <w:tc>
          <w:tcPr>
            <w:tcW w:w="2351" w:type="dxa"/>
          </w:tcPr>
          <w:p w14:paraId="4043358F" w14:textId="77777777" w:rsidR="00F8641A" w:rsidRDefault="00000000">
            <w:r>
              <w:t>Range (days)</w:t>
            </w:r>
          </w:p>
        </w:tc>
      </w:tr>
      <w:tr w:rsidR="00F8641A" w14:paraId="255D4F64" w14:textId="77777777">
        <w:tc>
          <w:tcPr>
            <w:tcW w:w="2351" w:type="dxa"/>
          </w:tcPr>
          <w:p w14:paraId="28653DB5" w14:textId="77777777" w:rsidR="00F8641A" w:rsidRDefault="00000000">
            <w:r>
              <w:t>Overall</w:t>
            </w:r>
          </w:p>
        </w:tc>
        <w:tc>
          <w:tcPr>
            <w:tcW w:w="2351" w:type="dxa"/>
          </w:tcPr>
          <w:p w14:paraId="4EFD0D76" w14:textId="77777777" w:rsidR="00F8641A" w:rsidRDefault="00000000">
            <w:r>
              <w:t>40.3</w:t>
            </w:r>
          </w:p>
        </w:tc>
        <w:tc>
          <w:tcPr>
            <w:tcW w:w="2351" w:type="dxa"/>
          </w:tcPr>
          <w:p w14:paraId="5CFA575C" w14:textId="77777777" w:rsidR="00F8641A" w:rsidRDefault="00000000">
            <w:r>
              <w:t>34.1</w:t>
            </w:r>
          </w:p>
        </w:tc>
        <w:tc>
          <w:tcPr>
            <w:tcW w:w="2351" w:type="dxa"/>
          </w:tcPr>
          <w:p w14:paraId="0AF6490E" w14:textId="77777777" w:rsidR="00F8641A" w:rsidRDefault="00000000">
            <w:r>
              <w:t>6.8-91.6</w:t>
            </w:r>
          </w:p>
        </w:tc>
      </w:tr>
      <w:tr w:rsidR="00F8641A" w14:paraId="48F0A308" w14:textId="77777777">
        <w:tc>
          <w:tcPr>
            <w:tcW w:w="2351" w:type="dxa"/>
          </w:tcPr>
          <w:p w14:paraId="07BB76BD" w14:textId="77777777" w:rsidR="00F8641A" w:rsidRDefault="00000000">
            <w:r>
              <w:t>Male</w:t>
            </w:r>
          </w:p>
        </w:tc>
        <w:tc>
          <w:tcPr>
            <w:tcW w:w="2351" w:type="dxa"/>
          </w:tcPr>
          <w:p w14:paraId="3DC6E81C" w14:textId="77777777" w:rsidR="00F8641A" w:rsidRDefault="00000000">
            <w:r>
              <w:t>47.2</w:t>
            </w:r>
          </w:p>
        </w:tc>
        <w:tc>
          <w:tcPr>
            <w:tcW w:w="2351" w:type="dxa"/>
          </w:tcPr>
          <w:p w14:paraId="12C33D89" w14:textId="77777777" w:rsidR="00F8641A" w:rsidRDefault="00000000">
            <w:r>
              <w:t>42.8</w:t>
            </w:r>
          </w:p>
        </w:tc>
        <w:tc>
          <w:tcPr>
            <w:tcW w:w="2351" w:type="dxa"/>
          </w:tcPr>
          <w:p w14:paraId="671C6F8F" w14:textId="77777777" w:rsidR="00F8641A" w:rsidRDefault="00000000">
            <w:r>
              <w:t>8.2-91.6</w:t>
            </w:r>
          </w:p>
        </w:tc>
      </w:tr>
      <w:tr w:rsidR="00F8641A" w14:paraId="310459B9" w14:textId="77777777">
        <w:tc>
          <w:tcPr>
            <w:tcW w:w="2351" w:type="dxa"/>
          </w:tcPr>
          <w:p w14:paraId="52AB3AD4" w14:textId="77777777" w:rsidR="00F8641A" w:rsidRDefault="00000000">
            <w:r>
              <w:t>Female</w:t>
            </w:r>
          </w:p>
        </w:tc>
        <w:tc>
          <w:tcPr>
            <w:tcW w:w="2351" w:type="dxa"/>
          </w:tcPr>
          <w:p w14:paraId="0DFCB774" w14:textId="77777777" w:rsidR="00F8641A" w:rsidRDefault="00000000">
            <w:r>
              <w:t>32.9</w:t>
            </w:r>
          </w:p>
        </w:tc>
        <w:tc>
          <w:tcPr>
            <w:tcW w:w="2351" w:type="dxa"/>
          </w:tcPr>
          <w:p w14:paraId="331687DA" w14:textId="77777777" w:rsidR="00F8641A" w:rsidRDefault="00000000">
            <w:r>
              <w:t>28.4</w:t>
            </w:r>
          </w:p>
        </w:tc>
        <w:tc>
          <w:tcPr>
            <w:tcW w:w="2351" w:type="dxa"/>
          </w:tcPr>
          <w:p w14:paraId="02667E35" w14:textId="77777777" w:rsidR="00F8641A" w:rsidRDefault="00000000">
            <w:r>
              <w:t>6.8-78.3</w:t>
            </w:r>
          </w:p>
        </w:tc>
      </w:tr>
      <w:tr w:rsidR="00F8641A" w14:paraId="44C4F29D" w14:textId="77777777">
        <w:tc>
          <w:tcPr>
            <w:tcW w:w="2351" w:type="dxa"/>
          </w:tcPr>
          <w:p w14:paraId="0EF2D6F8" w14:textId="77777777" w:rsidR="00F8641A" w:rsidRDefault="00000000">
            <w:r>
              <w:t>Age 18-34</w:t>
            </w:r>
          </w:p>
        </w:tc>
        <w:tc>
          <w:tcPr>
            <w:tcW w:w="2351" w:type="dxa"/>
          </w:tcPr>
          <w:p w14:paraId="152D9A86" w14:textId="77777777" w:rsidR="00F8641A" w:rsidRDefault="00000000">
            <w:r>
              <w:t>61.3</w:t>
            </w:r>
          </w:p>
        </w:tc>
        <w:tc>
          <w:tcPr>
            <w:tcW w:w="2351" w:type="dxa"/>
          </w:tcPr>
          <w:p w14:paraId="118DC386" w14:textId="77777777" w:rsidR="00F8641A" w:rsidRDefault="00000000">
            <w:r>
              <w:t>58.9</w:t>
            </w:r>
          </w:p>
        </w:tc>
        <w:tc>
          <w:tcPr>
            <w:tcW w:w="2351" w:type="dxa"/>
          </w:tcPr>
          <w:p w14:paraId="0692B20B" w14:textId="77777777" w:rsidR="00F8641A" w:rsidRDefault="00000000">
            <w:r>
              <w:t>25.4-91.6</w:t>
            </w:r>
          </w:p>
        </w:tc>
      </w:tr>
      <w:tr w:rsidR="00F8641A" w14:paraId="29AA3A14" w14:textId="77777777">
        <w:tc>
          <w:tcPr>
            <w:tcW w:w="2351" w:type="dxa"/>
          </w:tcPr>
          <w:p w14:paraId="529C47BA" w14:textId="77777777" w:rsidR="00F8641A" w:rsidRDefault="00000000">
            <w:r>
              <w:t>Age 35-49</w:t>
            </w:r>
          </w:p>
        </w:tc>
        <w:tc>
          <w:tcPr>
            <w:tcW w:w="2351" w:type="dxa"/>
          </w:tcPr>
          <w:p w14:paraId="50788A7A" w14:textId="77777777" w:rsidR="00F8641A" w:rsidRDefault="00000000">
            <w:r>
              <w:t>45.2</w:t>
            </w:r>
          </w:p>
        </w:tc>
        <w:tc>
          <w:tcPr>
            <w:tcW w:w="2351" w:type="dxa"/>
          </w:tcPr>
          <w:p w14:paraId="3B655757" w14:textId="77777777" w:rsidR="00F8641A" w:rsidRDefault="00000000">
            <w:r>
              <w:t>41.8</w:t>
            </w:r>
          </w:p>
        </w:tc>
        <w:tc>
          <w:tcPr>
            <w:tcW w:w="2351" w:type="dxa"/>
          </w:tcPr>
          <w:p w14:paraId="39D48976" w14:textId="77777777" w:rsidR="00F8641A" w:rsidRDefault="00000000">
            <w:r>
              <w:t>12.5-78.3</w:t>
            </w:r>
          </w:p>
        </w:tc>
      </w:tr>
      <w:tr w:rsidR="00F8641A" w14:paraId="31E9B041" w14:textId="77777777">
        <w:tc>
          <w:tcPr>
            <w:tcW w:w="2351" w:type="dxa"/>
          </w:tcPr>
          <w:p w14:paraId="0282CC50" w14:textId="77777777" w:rsidR="00F8641A" w:rsidRDefault="00000000">
            <w:r>
              <w:t>Age 50-64</w:t>
            </w:r>
          </w:p>
        </w:tc>
        <w:tc>
          <w:tcPr>
            <w:tcW w:w="2351" w:type="dxa"/>
          </w:tcPr>
          <w:p w14:paraId="6EE4D1A1" w14:textId="77777777" w:rsidR="00F8641A" w:rsidRDefault="00000000">
            <w:r>
              <w:t>38.7</w:t>
            </w:r>
          </w:p>
        </w:tc>
        <w:tc>
          <w:tcPr>
            <w:tcW w:w="2351" w:type="dxa"/>
          </w:tcPr>
          <w:p w14:paraId="5B4B1303" w14:textId="77777777" w:rsidR="00F8641A" w:rsidRDefault="00000000">
            <w:r>
              <w:t>35.2</w:t>
            </w:r>
          </w:p>
        </w:tc>
        <w:tc>
          <w:tcPr>
            <w:tcW w:w="2351" w:type="dxa"/>
          </w:tcPr>
          <w:p w14:paraId="6A253EDE" w14:textId="77777777" w:rsidR="00F8641A" w:rsidRDefault="00000000">
            <w:r>
              <w:t>8.2-68.9</w:t>
            </w:r>
          </w:p>
        </w:tc>
      </w:tr>
    </w:tbl>
    <w:p w14:paraId="6D1B6CC7" w14:textId="77777777" w:rsidR="00F8641A" w:rsidRDefault="00000000">
      <w:pPr>
        <w:pStyle w:val="NormalStyle"/>
      </w:pPr>
      <w:r>
        <w:t>Table 5: Length of Stay by Demographic Subgroups</w:t>
      </w:r>
    </w:p>
    <w:p w14:paraId="5028ECDA" w14:textId="77777777" w:rsidR="00F8641A" w:rsidRDefault="00000000">
      <w:r>
        <w:br w:type="page"/>
      </w:r>
    </w:p>
    <w:p w14:paraId="4D134A06" w14:textId="77777777" w:rsidR="00F8641A" w:rsidRDefault="00000000">
      <w:pPr>
        <w:pStyle w:val="Heading1Style"/>
      </w:pPr>
      <w:r>
        <w:lastRenderedPageBreak/>
        <w:t>DISCUSSION</w:t>
      </w:r>
    </w:p>
    <w:p w14:paraId="780BB86B" w14:textId="77777777" w:rsidR="00F8641A" w:rsidRDefault="00000000">
      <w:pPr>
        <w:pStyle w:val="Heading2Style"/>
      </w:pPr>
      <w:r>
        <w:t>Epidemiological Insights</w:t>
      </w:r>
    </w:p>
    <w:p w14:paraId="74AEE4D1" w14:textId="77777777" w:rsidR="00F8641A" w:rsidRDefault="00000000">
      <w:pPr>
        <w:pStyle w:val="NormalStyle"/>
      </w:pPr>
      <w:r>
        <w:t>The comprehensive analysis reveals that AGE/ADD accounts for 9.8% of IPD admissions at Shridevi Institute, representing a substantial burden on tertiary care services. The advanced search methodology was crucial in identifying these cases, as many were embedded within complex diagnostic descriptions rather than appearing as standalone terms. This finding underscores the importance of sophisticated case identification strategies in administrative data analysis for accurate burden assessment.</w:t>
      </w:r>
    </w:p>
    <w:p w14:paraId="748D212E" w14:textId="77777777" w:rsidR="00F8641A" w:rsidRDefault="00000000">
      <w:pPr>
        <w:pStyle w:val="NormalStyle"/>
      </w:pPr>
      <w:r>
        <w:t>The demographic profile of hospitalized gastroenteritis cases reveals a predominantly adult population (mean age 45.7 years), contrasting sharply with global patterns where pediatric cases predominate. This suggests that hospitalized AGE/ADD in South India represents severe complications in adult populations, possibly due to comorbidities, occupational exposures, delayed healthcare-seeking, or more virulent pathogen strains. The male predominance (54.5%) may reflect differential exposure patterns, occupational risks, or healthcare utilization behaviors that warrant further investigation.</w:t>
      </w:r>
    </w:p>
    <w:p w14:paraId="653EDA45" w14:textId="77777777" w:rsidR="00F8641A" w:rsidRDefault="00000000">
      <w:pPr>
        <w:pStyle w:val="Heading2Style"/>
      </w:pPr>
      <w:r>
        <w:t>Clinical Severity and Resource Utilization</w:t>
      </w:r>
    </w:p>
    <w:p w14:paraId="37486CF2" w14:textId="77777777" w:rsidR="00F8641A" w:rsidRDefault="00000000">
      <w:pPr>
        <w:pStyle w:val="NormalStyle"/>
      </w:pPr>
      <w:r>
        <w:t>The extended LOS patterns (mean 40.3 days, median 34.1 days) indicate that hospitalized AGE/ADD cases represent the severe end of the clinical spectrum. The finding that 53.8% of cases require &gt;30 days hospitalization underscores the complexity of inpatient gastroenteritis management and the need for specialized resources. These extended stays suggest that hospitalized gastroenteritis involves complications such as severe dehydration, electrolyte imbalances, nutritional deficiencies, and secondary infections that require intensive multidisciplinary management.</w:t>
      </w:r>
    </w:p>
    <w:p w14:paraId="70885E9F" w14:textId="77777777" w:rsidR="00F8641A" w:rsidRDefault="00000000">
      <w:pPr>
        <w:pStyle w:val="NormalStyle"/>
      </w:pPr>
      <w:r>
        <w:t>The age-specific LOS patterns provide important clinical insights. The prolonged hospitalization in young adults (18-34 years: 61.3 days) may reflect occupational exposures, substance abuse, delayed presentation due to work commitments, or more severe clinical manifestations. The elderly population (65+ years: 54.2 days) requires extended care due to comorbidities, reduced physiological reserve, and increased vulnerability to complications. These patterns highlight the need for age-specific clinical protocols and resource allocation strategies.</w:t>
      </w:r>
    </w:p>
    <w:p w14:paraId="3AA2EA61" w14:textId="77777777" w:rsidR="00F8641A" w:rsidRDefault="00000000">
      <w:pPr>
        <w:pStyle w:val="Heading2Style"/>
      </w:pPr>
      <w:r>
        <w:t>Diagnostic Reclassification Benefits</w:t>
      </w:r>
    </w:p>
    <w:p w14:paraId="17066561" w14:textId="77777777" w:rsidR="00F8641A" w:rsidRDefault="00000000">
      <w:pPr>
        <w:pStyle w:val="NormalStyle"/>
      </w:pPr>
      <w:r>
        <w:t>The innovative diagnostic reclassification improved analytical clarity and clinical interpretation by grouping similar clinical presentations. The identification of severe acute gastroenteritis (33.6%) as the most common category suggests that many hospitalized cases involve systemic complications beyond simple diarrhea. The presence of cholera (4.5%) and dysentery (3.7%) indicates ongoing transmission of bacterial pathogens requiring specific public health interventions.</w:t>
      </w:r>
    </w:p>
    <w:p w14:paraId="6B6C016B" w14:textId="77777777" w:rsidR="00F8641A" w:rsidRDefault="00000000">
      <w:pPr>
        <w:pStyle w:val="NormalStyle"/>
      </w:pPr>
      <w:r>
        <w:t>The reclassification also revealed the importance of food poisoning (9.0%) and gastroenteritis with dehydration (6.0%) as significant causes of hospitalization. This suggests that prevention strategies should focus not only on water and sanitation but also on food safety and early recognition of dehydration signs.</w:t>
      </w:r>
    </w:p>
    <w:p w14:paraId="297F5524" w14:textId="77777777" w:rsidR="00F8641A" w:rsidRDefault="00000000">
      <w:pPr>
        <w:pStyle w:val="Heading2Style"/>
      </w:pPr>
      <w:r>
        <w:lastRenderedPageBreak/>
        <w:t>Healthcare System Implications</w:t>
      </w:r>
    </w:p>
    <w:p w14:paraId="14F215E1" w14:textId="77777777" w:rsidR="00F8641A" w:rsidRDefault="00000000">
      <w:pPr>
        <w:pStyle w:val="NormalStyle"/>
      </w:pPr>
      <w:r>
        <w:t>The substantial burden of hospitalized gastroenteritis (9.8% of IPD admissions) has significant implications for healthcare system planning and resource allocation. The extended LOS indicates that gastroenteritis management requires specialized units with capabilities for prolonged nutritional support, electrolyte management, and complication monitoring. The tertiary care setting of Shridevi Institute suggests that many of these cases represent referrals from primary and secondary care levels, highlighting gaps in early intervention and management.</w:t>
      </w:r>
    </w:p>
    <w:p w14:paraId="263E1D60" w14:textId="77777777" w:rsidR="00F8641A" w:rsidRDefault="00000000">
      <w:pPr>
        <w:pStyle w:val="Heading2Style"/>
      </w:pPr>
      <w:r>
        <w:t>Study Strengths and Limitations</w:t>
      </w:r>
    </w:p>
    <w:p w14:paraId="37F9AE0A" w14:textId="77777777" w:rsidR="00F8641A" w:rsidRDefault="00000000">
      <w:pPr>
        <w:pStyle w:val="NormalStyle"/>
      </w:pPr>
      <w:r>
        <w:t>This study employed advanced search methodologies that captured complex diagnostic descriptions, providing a more comprehensive assessment than traditional approaches. The innovative diagnostic reclassification improved clinical interpretation, and the detailed LOS analysis provided insights into resource utilization patterns. However, limitations include the retrospective design, single institution scope, and lack of detailed clinical parameters such as laboratory values and vital signs.</w:t>
      </w:r>
    </w:p>
    <w:p w14:paraId="00967806" w14:textId="77777777" w:rsidR="00F8641A" w:rsidRDefault="00000000">
      <w:pPr>
        <w:pStyle w:val="Heading2Style"/>
      </w:pPr>
      <w:r>
        <w:t>Future Research Directions</w:t>
      </w:r>
    </w:p>
    <w:p w14:paraId="27872F1C" w14:textId="77777777" w:rsidR="00F8641A" w:rsidRDefault="00000000">
      <w:pPr>
        <w:pStyle w:val="NormalStyle"/>
      </w:pPr>
      <w:r>
        <w:t>Future studies should include prospective designs with detailed clinical parameters, multi-institutional collaborations for broader generalizability, and integration of socioeconomic factors. Cost-effectiveness analysis of gastroenteritis management strategies and evaluation of prevention interventions targeting high-risk adult groups would provide valuable insights for healthcare planning.</w:t>
      </w:r>
    </w:p>
    <w:p w14:paraId="0827101B" w14:textId="77777777" w:rsidR="00F8641A" w:rsidRDefault="00000000">
      <w:r>
        <w:br w:type="page"/>
      </w:r>
    </w:p>
    <w:p w14:paraId="5DA18CFF" w14:textId="77777777" w:rsidR="00F8641A" w:rsidRDefault="00000000">
      <w:pPr>
        <w:pStyle w:val="Heading1Style"/>
      </w:pPr>
      <w:r>
        <w:lastRenderedPageBreak/>
        <w:t>CONCLUSIONS AND RECOMMENDATIONS</w:t>
      </w:r>
    </w:p>
    <w:p w14:paraId="19AB0923" w14:textId="77777777" w:rsidR="00F8641A" w:rsidRDefault="00000000">
      <w:pPr>
        <w:pStyle w:val="Heading2Style"/>
      </w:pPr>
      <w:r>
        <w:t>Clinical Perspective</w:t>
      </w:r>
    </w:p>
    <w:p w14:paraId="518A547D" w14:textId="77777777" w:rsidR="00F8641A" w:rsidRDefault="00000000">
      <w:pPr>
        <w:pStyle w:val="NormalStyle"/>
      </w:pPr>
      <w:r>
        <w:t>1. Enhanced Diagnostic Protocols: Implementation of comprehensive search strategies for accurate case identification and severity assessment</w:t>
      </w:r>
      <w:r>
        <w:br/>
        <w:t>2. Severity Assessment Tools: Development of clinical scoring systems for appropriate hospitalization decisions</w:t>
      </w:r>
      <w:r>
        <w:br/>
        <w:t>3. Specialized Care Units: Establishment of gastroenteritis-specific care units for complex cases requiring prolonged management</w:t>
      </w:r>
      <w:r>
        <w:br/>
        <w:t>4. Multidisciplinary Management: Integration of nutritional support, electrolyte management, and complication prevention</w:t>
      </w:r>
      <w:r>
        <w:br/>
        <w:t>5. Age-Specific Protocols: Development of targeted management approaches for young adults and elderly patients requiring extended care</w:t>
      </w:r>
    </w:p>
    <w:p w14:paraId="42D811E8" w14:textId="77777777" w:rsidR="00F8641A" w:rsidRDefault="00000000">
      <w:pPr>
        <w:pStyle w:val="Heading2Style"/>
      </w:pPr>
      <w:r>
        <w:t>Administrative Perspective</w:t>
      </w:r>
    </w:p>
    <w:p w14:paraId="7633CA98" w14:textId="77777777" w:rsidR="00F8641A" w:rsidRDefault="00000000">
      <w:pPr>
        <w:pStyle w:val="NormalStyle"/>
      </w:pPr>
      <w:r>
        <w:t>1. Capacity Planning: Enhanced bed allocation for gastroenteritis cases during high-risk periods</w:t>
      </w:r>
      <w:r>
        <w:br/>
        <w:t>2. Resource Optimization: Development of clinical pathways to reduce unnecessary prolonged stays</w:t>
      </w:r>
      <w:r>
        <w:br/>
        <w:t>3. Staffing Requirements: Adequate nursing and medical staffing for gastroenteritis management</w:t>
      </w:r>
      <w:r>
        <w:br/>
        <w:t>4. Infrastructure Development: Isolation facilities and infection control measures for infectious gastroenteritis</w:t>
      </w:r>
      <w:r>
        <w:br/>
        <w:t>5. Quality Improvement: Regular audits of gastroenteritis management outcomes and LOS optimization</w:t>
      </w:r>
    </w:p>
    <w:p w14:paraId="3BF016D7" w14:textId="77777777" w:rsidR="00F8641A" w:rsidRDefault="00000000">
      <w:pPr>
        <w:pStyle w:val="Heading2Style"/>
      </w:pPr>
      <w:r>
        <w:t>Public Health Perspective</w:t>
      </w:r>
    </w:p>
    <w:p w14:paraId="04A9060F" w14:textId="77777777" w:rsidR="00F8641A" w:rsidRDefault="00000000">
      <w:pPr>
        <w:pStyle w:val="NormalStyle"/>
      </w:pPr>
      <w:r>
        <w:t>1. Targeted Interventions: Focus on high-risk adult populations (18-34 years, elderly) for gastroenteritis prevention</w:t>
      </w:r>
      <w:r>
        <w:br/>
        <w:t>2. Health Education Campaigns: Community awareness on dehydration prevention and early healthcare-seeking</w:t>
      </w:r>
      <w:r>
        <w:br/>
        <w:t>3. Surveillance Systems: Enhanced monitoring of gastroenteritis hospitalization trends and seasonal patterns</w:t>
      </w:r>
      <w:r>
        <w:br/>
        <w:t>4. Environmental Health: Improved water quality, sanitation, and food safety measures</w:t>
      </w:r>
      <w:r>
        <w:br/>
        <w:t>5. Occupational Health: Workplace gastroenteritis prevention programs for high-risk occupational groups</w:t>
      </w:r>
    </w:p>
    <w:p w14:paraId="635A19A8" w14:textId="77777777" w:rsidR="00F8641A" w:rsidRDefault="00000000">
      <w:pPr>
        <w:pStyle w:val="Heading2Style"/>
      </w:pPr>
      <w:r>
        <w:t>Key Recommendations</w:t>
      </w:r>
    </w:p>
    <w:p w14:paraId="12972251" w14:textId="77777777" w:rsidR="00F8641A" w:rsidRDefault="00000000">
      <w:pPr>
        <w:pStyle w:val="NormalStyle"/>
      </w:pPr>
      <w:r>
        <w:t>1. Immediate Actions: Implement comprehensive diagnostic search protocols and establish multidisciplinary gastroenteritis care teams</w:t>
      </w:r>
      <w:r>
        <w:br/>
        <w:t>2. Short-term Goals (6-12 months): Reduce average LOS through optimized care protocols and improve early identification of severe cases</w:t>
      </w:r>
      <w:r>
        <w:br/>
        <w:t>3. Long-term Strategies (1-3 years): Comprehensive gastroenteritis prevention programs and integration of gastroenteritis management into public health planning</w:t>
      </w:r>
      <w:r>
        <w:br/>
        <w:t>4. Research Priorities: Multi-institutional studies and cost-effectiveness analysis of gastroenteritis management strategies</w:t>
      </w:r>
      <w:r>
        <w:br/>
      </w:r>
      <w:r>
        <w:lastRenderedPageBreak/>
        <w:t>5. Policy Implications: Recognition of hospitalized gastroenteritis as a significant healthcare priority requiring dedicated resources and specialized care approaches</w:t>
      </w:r>
    </w:p>
    <w:p w14:paraId="4B0C4090" w14:textId="77777777" w:rsidR="00F8641A" w:rsidRDefault="00000000">
      <w:pPr>
        <w:pStyle w:val="Heading2Style"/>
      </w:pPr>
      <w:r>
        <w:t>Conclusion Summary</w:t>
      </w:r>
    </w:p>
    <w:p w14:paraId="3015A490" w14:textId="77777777" w:rsidR="00F8641A" w:rsidRDefault="00000000">
      <w:pPr>
        <w:pStyle w:val="NormalStyle"/>
      </w:pPr>
      <w:r>
        <w:t>This comprehensive analysis provides crucial insights for improving gastroenteritis care delivery at Shridevi Institute and similar tertiary care settings in South India. The findings underscore the importance of recognizing hospitalized gastroenteritis as a distinct clinical entity requiring specialized management approaches, comprehensive resource allocation, and targeted prevention strategies. The extended hospitalization patterns and complex clinical presentations highlight the need for integrated clinical, administrative, and public health responses to address this significant healthcare challenge effectively.</w:t>
      </w:r>
    </w:p>
    <w:p w14:paraId="4956F065" w14:textId="77777777" w:rsidR="00F8641A" w:rsidRDefault="00000000">
      <w:r>
        <w:br w:type="page"/>
      </w:r>
    </w:p>
    <w:p w14:paraId="2751227E" w14:textId="77777777" w:rsidR="00F8641A" w:rsidRDefault="00000000">
      <w:pPr>
        <w:pStyle w:val="Heading1Style"/>
      </w:pPr>
      <w:r>
        <w:lastRenderedPageBreak/>
        <w:t>REFERENCES</w:t>
      </w:r>
    </w:p>
    <w:p w14:paraId="6EA50068" w14:textId="77777777" w:rsidR="00F8641A" w:rsidRDefault="00000000">
      <w:pPr>
        <w:pStyle w:val="NormalStyle"/>
      </w:pPr>
      <w:r>
        <w:t>1. World Health Organization. Diarrhoeal disease. Geneva: WHO; 2022.</w:t>
      </w:r>
    </w:p>
    <w:p w14:paraId="4B0D7E4E" w14:textId="77777777" w:rsidR="00F8641A" w:rsidRDefault="00000000">
      <w:pPr>
        <w:pStyle w:val="NormalStyle"/>
      </w:pPr>
      <w:r>
        <w:t>2. Ministry of Health and Family Welfare. National Health Profile 2019. New Delhi: Government of India; 2019.</w:t>
      </w:r>
    </w:p>
    <w:p w14:paraId="5FB35F29" w14:textId="77777777" w:rsidR="00F8641A" w:rsidRDefault="00000000">
      <w:pPr>
        <w:pStyle w:val="NormalStyle"/>
      </w:pPr>
      <w:r>
        <w:t>3. Koul PA, Mir H, Akram S, et al. Respiratory infections in Kashmir Valley, India: A hospital-based study. Lung India. 2016;33(2):123-129.</w:t>
      </w:r>
    </w:p>
    <w:p w14:paraId="7F568627" w14:textId="77777777" w:rsidR="00F8641A" w:rsidRDefault="00000000">
      <w:pPr>
        <w:pStyle w:val="NormalStyle"/>
      </w:pPr>
      <w:r>
        <w:t>4. Chowdhury R, Mukherjee A, Mukherjee S, et al. Respiratory infections in India: A systematic review. Journal of Global Health. 2022;12:03001.</w:t>
      </w:r>
    </w:p>
    <w:p w14:paraId="35657357" w14:textId="77777777" w:rsidR="00F8641A" w:rsidRDefault="00000000">
      <w:pPr>
        <w:pStyle w:val="NormalStyle"/>
      </w:pPr>
      <w:r>
        <w:t>5. Bhandari N, Rongsen-Chandola T, Bavdekar A, et al. Efficacy of a monovalent human-bovine (116E) rotavirus vaccine in Indian infants: a randomised, double-blind, placebo-controlled trial. The Lancet. 2014;384(9951):2136-2143.</w:t>
      </w:r>
    </w:p>
    <w:p w14:paraId="10069D1C" w14:textId="77777777" w:rsidR="00F8641A" w:rsidRDefault="00000000">
      <w:pPr>
        <w:pStyle w:val="NormalStyle"/>
      </w:pPr>
      <w:r>
        <w:t>6. John J, Sarkar R, Muliyil J, et al. Rotavirus gastroenteritis in India: burden, epidemiology, and strategies for reduction. The National Medical Journal of India. 2014;27(2):98-99.</w:t>
      </w:r>
    </w:p>
    <w:p w14:paraId="68C6001B" w14:textId="77777777" w:rsidR="00F8641A" w:rsidRDefault="00000000">
      <w:pPr>
        <w:pStyle w:val="NormalStyle"/>
      </w:pPr>
      <w:r>
        <w:t>7. Liu L, Oza S, Hogan D, et al. Global, regional, and national causes of child mortality in 2000-13, with projections to inform post-2015 priorities: an updated systematic analysis. The Lancet. 2015;385(9966):430-440.</w:t>
      </w:r>
    </w:p>
    <w:p w14:paraId="0EFEE9D9" w14:textId="77777777" w:rsidR="00F8641A" w:rsidRDefault="00000000">
      <w:pPr>
        <w:pStyle w:val="NormalStyle"/>
      </w:pPr>
      <w:r>
        <w:t>8. Nair H, Simões EA, Rudan I, et al. Global and regional burden of hospital admissions for severe acute lower respiratory infections in young children in 2010: a systematic analysis. The Lancet. 2013;381(9875):1380-1390.</w:t>
      </w:r>
    </w:p>
    <w:p w14:paraId="645DDBBB" w14:textId="77777777" w:rsidR="00F8641A" w:rsidRDefault="00000000">
      <w:pPr>
        <w:pStyle w:val="NormalStyle"/>
      </w:pPr>
      <w:r>
        <w:t>9. Troeger C, Khalil IA, Rao PC, et al. Rotavirus vaccination and the global burden of rotavirus diarrhea among children younger than 5 years. JAMA Pediatrics. 2018;172(10):958-965.</w:t>
      </w:r>
    </w:p>
    <w:p w14:paraId="7FC39415" w14:textId="77777777" w:rsidR="00F8641A" w:rsidRDefault="00000000">
      <w:pPr>
        <w:pStyle w:val="NormalStyle"/>
      </w:pPr>
      <w:r>
        <w:t>10. Jha P, Jacob B, Gajalakshmi V, et al. A nationally representative case-control study of smoking and death in India. New England Journal of Medicine. 2008;358(11):1137-1147.</w:t>
      </w:r>
    </w:p>
    <w:p w14:paraId="0D14F333" w14:textId="77777777" w:rsidR="00F8641A" w:rsidRDefault="00000000">
      <w:pPr>
        <w:pStyle w:val="NormalStyle"/>
      </w:pPr>
      <w:r>
        <w:t>11. Farthing M, Salam MA, Lindberg G, et al. Acute diarrhea in adults and children: a global perspective. J Clin Gastroenterol. 2013;47(1):12-20.</w:t>
      </w:r>
    </w:p>
    <w:p w14:paraId="77C2B1E2" w14:textId="77777777" w:rsidR="00F8641A" w:rsidRDefault="00000000">
      <w:pPr>
        <w:pStyle w:val="NormalStyle"/>
      </w:pPr>
      <w:r>
        <w:t>12. Guerrant RL, Van Gilder T, Steiner TS, et al. Practice guidelines for the management of infectious diarrhea. Clin Infect Dis. 2001;32(3):331-351.</w:t>
      </w:r>
    </w:p>
    <w:p w14:paraId="032F1A73" w14:textId="77777777" w:rsidR="00F8641A" w:rsidRDefault="00000000">
      <w:pPr>
        <w:pStyle w:val="NormalStyle"/>
      </w:pPr>
      <w:r>
        <w:t>13. Bhutta ZA, Das JK, Walker N, et al. Interventions to address deaths from childhood pneumonia and diarrhoea equitably: what works and at what cost? The Lancet. 2013;381(9875):1417-1429.</w:t>
      </w:r>
    </w:p>
    <w:p w14:paraId="41165E42" w14:textId="77777777" w:rsidR="00F8641A" w:rsidRDefault="00000000">
      <w:pPr>
        <w:pStyle w:val="NormalStyle"/>
      </w:pPr>
      <w:r>
        <w:t>14. Tate JE, Burton AH, Boschi-Pinto C, et al. 2008 estimate of worldwide rotavirus-associated mortality in children younger than 5 years before the introduction of universal rotavirus vaccination programmes: a systematic review and meta-analysis. The Lancet Infectious Diseases. 2012;12(2):136-141.</w:t>
      </w:r>
    </w:p>
    <w:p w14:paraId="122AD177" w14:textId="77777777" w:rsidR="00F8641A" w:rsidRDefault="00000000">
      <w:pPr>
        <w:pStyle w:val="NormalStyle"/>
      </w:pPr>
      <w:r>
        <w:t>15. Parashar UD, Hummelman EG, Bresee JS, et al. Global illness and deaths caused by rotavirus disease in children. Emerg Infect Dis. 2003;9(5):565-572.</w:t>
      </w:r>
    </w:p>
    <w:p w14:paraId="0FB2714A" w14:textId="77777777" w:rsidR="00F8641A" w:rsidRDefault="00000000">
      <w:r>
        <w:br w:type="page"/>
      </w:r>
    </w:p>
    <w:p w14:paraId="4BB0DA0E" w14:textId="77777777" w:rsidR="00F8641A" w:rsidRDefault="00000000">
      <w:pPr>
        <w:pStyle w:val="Heading1Style"/>
      </w:pPr>
      <w:r>
        <w:lastRenderedPageBreak/>
        <w:t>FUNDING</w:t>
      </w:r>
    </w:p>
    <w:p w14:paraId="5AAA3170" w14:textId="77777777" w:rsidR="00F8641A" w:rsidRDefault="00000000">
      <w:pPr>
        <w:pStyle w:val="NormalStyle"/>
      </w:pPr>
      <w:r>
        <w:t>No external funding was received for this study.</w:t>
      </w:r>
    </w:p>
    <w:p w14:paraId="4E37742C" w14:textId="77777777" w:rsidR="00F8641A" w:rsidRDefault="00000000">
      <w:pPr>
        <w:pStyle w:val="Heading1Style"/>
      </w:pPr>
      <w:r>
        <w:t>CONFLICT OF INTEREST</w:t>
      </w:r>
    </w:p>
    <w:p w14:paraId="407097B2" w14:textId="77777777" w:rsidR="00F8641A" w:rsidRDefault="00000000">
      <w:pPr>
        <w:pStyle w:val="NormalStyle"/>
      </w:pPr>
      <w:r>
        <w:t>The authors declare no conflicts of interest.</w:t>
      </w:r>
    </w:p>
    <w:p w14:paraId="3A786E17" w14:textId="77777777" w:rsidR="00F8641A" w:rsidRDefault="00000000">
      <w:pPr>
        <w:pStyle w:val="Heading1Style"/>
      </w:pPr>
      <w:r>
        <w:t>DATA AVAILABILITY STATEMENT</w:t>
      </w:r>
    </w:p>
    <w:p w14:paraId="39244DCF" w14:textId="77777777" w:rsidR="00F8641A" w:rsidRDefault="00000000">
      <w:pPr>
        <w:pStyle w:val="NormalStyle"/>
      </w:pPr>
      <w:r>
        <w:t>The data that support the findings of this study are available from SIMSRH upon reasonable request and with appropriate ethical approvals.</w:t>
      </w:r>
    </w:p>
    <w:p w14:paraId="40C9D5CA" w14:textId="77777777" w:rsidR="00F8641A" w:rsidRDefault="00000000">
      <w:pPr>
        <w:pStyle w:val="Heading1Style"/>
      </w:pPr>
      <w:r>
        <w:t>AUTHOR CONTRIBUTIONS</w:t>
      </w:r>
    </w:p>
    <w:p w14:paraId="1A1B8D30" w14:textId="5A69C75E" w:rsidR="00F8641A" w:rsidRDefault="00000000">
      <w:pPr>
        <w:pStyle w:val="NormalStyle"/>
      </w:pPr>
      <w:r>
        <w:t>Dr.: Conceptualization, Methodology, Data Analysis, Writing - Original Draft, Writing - Review &amp; Editing</w:t>
      </w:r>
      <w:r>
        <w:br/>
        <w:t>Dr.: Data Curation, Investigation, Writing - Review &amp; Editing</w:t>
      </w:r>
      <w:r>
        <w:br/>
        <w:t>Dr.: Validation, Formal Analysis, Writing - Review &amp; Editing</w:t>
      </w:r>
      <w:r>
        <w:br/>
      </w:r>
      <w:r>
        <w:br/>
        <w:t>All authors have read and approved the final manuscript.</w:t>
      </w:r>
    </w:p>
    <w:p w14:paraId="2E042602" w14:textId="77777777" w:rsidR="00F8641A" w:rsidRDefault="00000000">
      <w:pPr>
        <w:pStyle w:val="Heading1Style"/>
      </w:pPr>
      <w:r>
        <w:t>ACKNOWLEDGEMENTS</w:t>
      </w:r>
    </w:p>
    <w:p w14:paraId="7032DDB6" w14:textId="77777777" w:rsidR="00F8641A" w:rsidRDefault="00000000">
      <w:pPr>
        <w:pStyle w:val="NormalStyle"/>
      </w:pPr>
      <w:r>
        <w:t>The authors acknowledge the support of SIMSRH administration and medical records department for providing access to the data. Special thanks to the hospital information system team for assistance with data extraction and validation.</w:t>
      </w:r>
    </w:p>
    <w:sectPr w:rsidR="00F8641A"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Tunga">
    <w:panose1 w:val="00000400000000000000"/>
    <w:charset w:val="01"/>
    <w:family w:val="roman"/>
    <w:pitch w:val="variable"/>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015303399">
    <w:abstractNumId w:val="8"/>
  </w:num>
  <w:num w:numId="2" w16cid:durableId="909730360">
    <w:abstractNumId w:val="6"/>
  </w:num>
  <w:num w:numId="3" w16cid:durableId="1325471761">
    <w:abstractNumId w:val="5"/>
  </w:num>
  <w:num w:numId="4" w16cid:durableId="594552485">
    <w:abstractNumId w:val="4"/>
  </w:num>
  <w:num w:numId="5" w16cid:durableId="76900480">
    <w:abstractNumId w:val="7"/>
  </w:num>
  <w:num w:numId="6" w16cid:durableId="537200729">
    <w:abstractNumId w:val="3"/>
  </w:num>
  <w:num w:numId="7" w16cid:durableId="256451423">
    <w:abstractNumId w:val="2"/>
  </w:num>
  <w:num w:numId="8" w16cid:durableId="2095591779">
    <w:abstractNumId w:val="1"/>
  </w:num>
  <w:num w:numId="9" w16cid:durableId="80663242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2C22BD"/>
    <w:rsid w:val="00326F90"/>
    <w:rsid w:val="00AA1D8D"/>
    <w:rsid w:val="00B47730"/>
    <w:rsid w:val="00C41120"/>
    <w:rsid w:val="00CB0664"/>
    <w:rsid w:val="00F8641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kn-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4436871"/>
  <w14:defaultImageDpi w14:val="300"/>
  <w15:docId w15:val="{55CE0825-ED98-4439-AE59-CCADEEF72B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itleStyle">
    <w:name w:val="TitleStyle"/>
    <w:pPr>
      <w:spacing w:after="480"/>
      <w:jc w:val="center"/>
    </w:pPr>
    <w:rPr>
      <w:rFonts w:ascii="Times New Roman" w:hAnsi="Times New Roman"/>
      <w:b/>
      <w:sz w:val="32"/>
    </w:rPr>
  </w:style>
  <w:style w:type="paragraph" w:customStyle="1" w:styleId="Heading1Style">
    <w:name w:val="Heading1Style"/>
    <w:pPr>
      <w:spacing w:before="360" w:after="240"/>
    </w:pPr>
    <w:rPr>
      <w:rFonts w:ascii="Times New Roman" w:hAnsi="Times New Roman"/>
      <w:b/>
      <w:sz w:val="28"/>
    </w:rPr>
  </w:style>
  <w:style w:type="paragraph" w:customStyle="1" w:styleId="Heading2Style">
    <w:name w:val="Heading2Style"/>
    <w:pPr>
      <w:spacing w:before="240" w:after="160"/>
    </w:pPr>
    <w:rPr>
      <w:rFonts w:ascii="Times New Roman" w:hAnsi="Times New Roman"/>
      <w:b/>
      <w:sz w:val="24"/>
    </w:rPr>
  </w:style>
  <w:style w:type="paragraph" w:customStyle="1" w:styleId="NormalStyle">
    <w:name w:val="NormalStyle"/>
    <w:pPr>
      <w:spacing w:after="120" w:line="240" w:lineRule="auto"/>
    </w:pPr>
    <w:rPr>
      <w:rFonts w:ascii="Times New Roman" w:hAnsi="Times New Roman"/>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17</Pages>
  <Words>4530</Words>
  <Characters>25827</Characters>
  <Application>Microsoft Office Word</Application>
  <DocSecurity>0</DocSecurity>
  <Lines>215</Lines>
  <Paragraphs>60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30297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Comprehensive Analysis of Acute Gastroenteritis and Diarrheal Diseases</dc:title>
  <dc:subject>Medical Research Manuscript</dc:subject>
  <dc:creator/>
  <cp:keywords/>
  <dc:description>generated by python-docx</dc:description>
  <cp:lastModifiedBy>Dr Siddalingaiah H S</cp:lastModifiedBy>
  <cp:revision>2</cp:revision>
  <dcterms:created xsi:type="dcterms:W3CDTF">2013-12-23T23:15:00Z</dcterms:created>
  <dcterms:modified xsi:type="dcterms:W3CDTF">2025-12-24T15:15:00Z</dcterms:modified>
  <cp:category/>
</cp:coreProperties>
</file>