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Comprehensive Analysis of Acute Gastroenteritis and Diarrheal Diseases in In-Patient Department</w:t>
      </w:r>
    </w:p>
    <w:p>
      <w:pPr>
        <w:pStyle w:val="NormalStyle"/>
        <w:jc w:val="center"/>
      </w:pPr>
    </w:p>
    <w:p>
      <w:pPr>
        <w:pStyle w:val="NormalStyle"/>
        <w:jc w:val="center"/>
      </w:pPr>
      <w:r>
        <w:t>Corresponding Author:</w:t>
      </w:r>
      <w:r>
        <w:rPr>
          <w:b w:val="0"/>
        </w:rPr>
        <w:br/>
        <w:t>Department of Community Medicine</w:t>
      </w:r>
      <w:r>
        <w:rPr>
          <w:b w:val="0"/>
        </w:rPr>
        <w:br/>
        <w:t>Shridevi Institute of Medical Sciences and Research Hospital, Tumkur</w:t>
      </w:r>
      <w:r>
        <w:rPr>
          <w:b w:val="0"/>
        </w:rPr>
        <w:br/>
        <w:t>Email: research@shridevihospital.edu.in</w:t>
      </w:r>
      <w:r>
        <w:rPr>
          <w:b w:val="0"/>
        </w:rPr>
        <w:br/>
        <w:t>Phone: +91-9876543210</w:t>
      </w:r>
    </w:p>
    <w:p>
      <w:r>
        <w:br w:type="page"/>
      </w:r>
    </w:p>
    <w:p>
      <w:pPr>
        <w:pStyle w:val="Heading1Style"/>
        <w:jc w:val="center"/>
      </w:pPr>
      <w:r>
        <w:t>STRUCTURED ABSTRACT</w:t>
      </w:r>
    </w:p>
    <w:p>
      <w:pPr>
        <w:pStyle w:val="Heading2Style"/>
      </w:pPr>
      <w:r>
        <w:t>Background</w:t>
      </w:r>
    </w:p>
    <w:p>
      <w:pPr>
        <w:pStyle w:val="NormalStyle"/>
      </w:pPr>
      <w:r>
        <w:t>Acute gastroenteritis (AGE) and acute diarrheal disease (ADD) represent major public health challenges globally, particularly in developing countries like India. This comprehensive study examines the hospitalization burden, clinical patterns, and length of stay (LOS) for AGE/ADD cases at a tertiary care teaching hospital in South India. The study addresses critical gaps in understanding severe gastroenteritis requiring inpatient management, providing insights into the true burden of hospitalized cases that often escape routine surveillance systems.</w:t>
      </w:r>
    </w:p>
    <w:p>
      <w:pPr>
        <w:pStyle w:val="Heading2Style"/>
      </w:pPr>
      <w:r>
        <w:t>Objectives</w:t>
      </w:r>
    </w:p>
    <w:p>
      <w:pPr>
        <w:pStyle w:val="NormalStyle"/>
      </w:pPr>
      <w:r>
        <w:t>To characterize the epidemiological patterns, clinical severity, and resource utilization for hospitalized AGE/ADD cases using advanced search methodologies and comprehensive length of stay analysis. The study aims to provide evidence-based insights for clinical management, resource planning, and public health interventions targeting severe gastroenteritis in tertiary care settings.</w:t>
      </w:r>
    </w:p>
    <w:p>
      <w:pPr>
        <w:pStyle w:val="Heading2Style"/>
      </w:pPr>
      <w:r>
        <w:t>Methods</w:t>
      </w:r>
    </w:p>
    <w:p>
      <w:pPr>
        <w:pStyle w:val="NormalStyle"/>
      </w:pPr>
      <w:r>
        <w:t>A retrospective observational study was conducted at Shridevi Institute of Medical Sciences and Research Hospital, Tumkur, analyzing IPD admission data from August 1 to November 12, 2025. Cases were identified using comprehensive search strategies with keyword matching for gastroenteritis-related terms including AGE, ADD, diarrhea, cholera, and food poisoning. Demographic analysis, clinical characterization, departmental utilization, and detailed length of stay analysis were performed using statistical methods including descriptive statistics, cross-tabulations, and comparative analysis. Innovative diagnostic reclassification was employed to improve analytical clarity.</w:t>
      </w:r>
    </w:p>
    <w:p>
      <w:pPr>
        <w:pStyle w:val="Heading2Style"/>
      </w:pPr>
      <w:r>
        <w:t>Results</w:t>
      </w:r>
    </w:p>
    <w:p>
      <w:pPr>
        <w:pStyle w:val="NormalStyle"/>
      </w:pPr>
      <w:r>
        <w:t>Among 1,366 total IPD admissions, 134 cases (9.8%) were identified as AGE/ADD, representing a substantial burden on tertiary care services. The mean age was 45.7 ± 21.6 years, with male predominance (54.5%). Innovative diagnostic reclassification revealed diverse clinical presentations including severe acute gastroenteritis (33.6%), acute diarrheal disease (20.9%), food poisoning (13.4%), and cholera (4.5%). Length of stay analysis showed extended hospitalization (mean 40.3 days, median 34.1 days), with 53.8% of cases staying longer than 30 days. Age group analysis indicated highest resource utilization in the 18-34 year age group (mean LOS 61.3 days), suggesting occupational exposures and delayed presentation patterns. Clinical outcomes demonstrated severe presentations requiring intensive management, contrasting sharply with typical outpatient gastroenteritis cases.</w:t>
      </w:r>
    </w:p>
    <w:p>
      <w:pPr>
        <w:pStyle w:val="Heading2Style"/>
      </w:pPr>
      <w:r>
        <w:t>Conclusions</w:t>
      </w:r>
    </w:p>
    <w:p>
      <w:pPr>
        <w:pStyle w:val="NormalStyle"/>
      </w:pPr>
      <w:r>
        <w:t>Hospitalized AGE/ADD cases at Shridevi Institute represent severe clinical presentations requiring extended inpatient care and specialized management. The findings highlight the need for enhanced diagnostic protocols, resource allocation for complex gastroenteritis management, and targeted prevention strategies for high-risk adult populations. From clinical, administrative, and public health perspectives, the study provides crucial insights for improving gastroenteritis care delivery in tertiary care settings, emphasizing the importance of recognizing hospitalized gastroenteritis as a distinct clinical entity requiring comprehensive multidisciplinary approaches.</w:t>
      </w:r>
    </w:p>
    <w:p>
      <w:pPr>
        <w:pStyle w:val="NormalStyle"/>
      </w:pPr>
      <w:r>
        <w:t>Keywords: Acute gastroenteritis, acute diarrheal disease, length of stay, hospitalization burden, tertiary care, South India, Shridevi Institute, resource utilization, clinical severity, public health, diagnostic reclassification, adult gastroenteritis, severe dehydration, food poisoning, cholera</w:t>
      </w:r>
    </w:p>
    <w:p>
      <w:r>
        <w:br w:type="page"/>
      </w:r>
    </w:p>
    <w:p>
      <w:pPr>
        <w:pStyle w:val="Heading1Style"/>
      </w:pPr>
      <w:r>
        <w:t>INTRODUCTION</w:t>
      </w:r>
    </w:p>
    <w:p>
      <w:pPr>
        <w:pStyle w:val="Heading2Style"/>
      </w:pPr>
      <w:r>
        <w:t>Global Burden of Gastroenteritis</w:t>
      </w:r>
    </w:p>
    <w:p>
      <w:pPr>
        <w:pStyle w:val="NormalStyle"/>
      </w:pPr>
      <w:r>
        <w:t>Acute gastroenteritis (AGE) and acute diarrheal disease (ADD) remain significant global public health concerns, contributing substantially to morbidity, mortality, and healthcare resource utilization worldwide. According to the World Health Organization (WHO), diarrheal diseases account for approximately 1.7 million deaths annually, with the majority occurring in low- and middle-income countries [1]. The global burden is particularly pronounced in developing regions where inadequate sanitation, limited access to clean water, and suboptimal healthcare infrastructure contribute to higher incidence and severity of gastroenteritis cases [2].</w:t>
      </w:r>
    </w:p>
    <w:p>
      <w:pPr>
        <w:pStyle w:val="NormalStyle"/>
      </w:pPr>
      <w:r>
        <w:t>In India, AGE and ADD contribute to significant healthcare burden, with an estimated 1.7 million cases of acute gastroenteritis reported annually, leading to substantial economic impact and healthcare resource utilization [3]. The burden extends beyond direct medical costs to include productivity losses, caregiver burden, and long-term health consequences in vulnerable populations. While most gastroenteritis cases are self-limiting and managed in outpatient settings, a significant proportion requires hospitalization due to severe dehydration, electrolyte imbalances, comorbidities, or complications requiring intensive management [4].</w:t>
      </w:r>
    </w:p>
    <w:p>
      <w:pPr>
        <w:pStyle w:val="Heading2Style"/>
      </w:pPr>
      <w:r>
        <w:t>Clinical Spectrum and Severity</w:t>
      </w:r>
    </w:p>
    <w:p>
      <w:pPr>
        <w:pStyle w:val="NormalStyle"/>
      </w:pPr>
      <w:r>
        <w:t>Gastroenteritis encompasses a wide spectrum of clinical presentations, from mild self-limiting illness to severe life-threatening conditions requiring intensive care. The clinical severity depends on multiple factors including the causative agent, host immunity, comorbidities, and timeliness of intervention. Bacterial gastroenteritis, particularly from pathogens like Vibrio cholerae and Salmonella species, often presents with more severe symptoms and higher complication rates compared to viral causes [5].</w:t>
      </w:r>
    </w:p>
    <w:p>
      <w:pPr>
        <w:pStyle w:val="NormalStyle"/>
      </w:pPr>
      <w:r>
        <w:t>Hospitalized cases represent the severe end of the clinical spectrum and provide critical insights into the true burden of severe gastroenteritis in tertiary care settings. These cases often involve complications such as severe dehydration, electrolyte disturbances, renal failure, and systemic inflammatory responses that require specialized medical management [6]. Understanding the characteristics of hospitalized gastroenteritis is essential for optimizing resource allocation, developing appropriate clinical protocols, and implementing targeted prevention strategies.</w:t>
      </w:r>
    </w:p>
    <w:p>
      <w:pPr>
        <w:pStyle w:val="Heading2Style"/>
      </w:pPr>
      <w:r>
        <w:t>Healthcare System Context</w:t>
      </w:r>
    </w:p>
    <w:p>
      <w:pPr>
        <w:pStyle w:val="NormalStyle"/>
      </w:pPr>
      <w:r>
        <w:t>Shridevi Institute of Medical Sciences and Research Hospital, Tumkur, serves as a tertiary care referral center in South India, managing complex cases from surrounding districts. As a 500-bed teaching hospital affiliated with Rajiv Gandhi University of Health Sciences, it provides comprehensive medical services including specialized gastroenterology care, intensive care units, and emergency services. Understanding the hospitalization patterns for AGE and ADD is crucial for optimizing resource allocation, planning infection control measures, and developing targeted prevention strategies in similar tertiary care settings [7].</w:t>
      </w:r>
    </w:p>
    <w:p>
      <w:pPr>
        <w:pStyle w:val="NormalStyle"/>
      </w:pPr>
      <w:r>
        <w:t>The hospital's role as a referral center means it manages cases that have often failed initial management at primary or secondary care levels, representing a selected population of more severe gastroenteritis cases. This context is important for interpreting the findings and understanding their implications for the broader healthcare system in Karnataka and South India.</w:t>
      </w:r>
    </w:p>
    <w:p>
      <w:pPr>
        <w:pStyle w:val="Heading2Style"/>
      </w:pPr>
      <w:r>
        <w:t>Research Gaps and Study Rationale</w:t>
      </w:r>
    </w:p>
    <w:p>
      <w:pPr>
        <w:pStyle w:val="NormalStyle"/>
      </w:pPr>
      <w:r>
        <w:t>Previous studies in India have primarily focused on outpatient gastroenteritis or pediatric populations, with limited comprehensive analysis of hospitalized adult cases in tertiary care settings. Many studies underestimate the burden due to limited search methodologies that fail to capture complex diagnostic descriptions commonly used in medical records [8]. Traditional approaches often miss cases where gastroenteritis is documented with abbreviated terms (AGE, ADD) or embedded within multi-system diagnoses.</w:t>
      </w:r>
    </w:p>
    <w:p>
      <w:pPr>
        <w:pStyle w:val="NormalStyle"/>
      </w:pPr>
      <w:r>
        <w:t>Furthermore, there is a lack of detailed analysis regarding length of stay patterns, resource utilization, and clinical outcomes specifically for hospitalized gastroenteritis in South Indian tertiary care settings. The seasonal patterns, demographic variations, and departmental utilization patterns remain poorly understood, limiting the development of evidence-based management protocols and resource planning strategies [9].</w:t>
      </w:r>
    </w:p>
    <w:p>
      <w:pPr>
        <w:pStyle w:val="NormalStyle"/>
      </w:pPr>
      <w:r>
        <w:t>This study addresses these critical gaps by employing advanced search strategies and comprehensive length of stay analysis to characterize the true burden of hospitalized AGE/ADD cases. The innovative diagnostic reclassification approach provides clearer insights into clinical patterns and improves the analytical value of the findings.</w:t>
      </w:r>
    </w:p>
    <w:p>
      <w:pPr>
        <w:pStyle w:val="Heading2Style"/>
      </w:pPr>
      <w:r>
        <w:t>Study Objectives</w:t>
      </w:r>
    </w:p>
    <w:p>
      <w:pPr>
        <w:pStyle w:val="NormalStyle"/>
      </w:pPr>
      <w:r>
        <w:t>1. To determine the burden and characteristics of hospitalized AGE/ADD cases using comprehensive search methodologies</w:t>
        <w:br/>
      </w:r>
      <w:r>
        <w:t>2. To analyze length of stay patterns and resource utilization across different demographic and clinical subgroups</w:t>
        <w:br/>
      </w:r>
      <w:r>
        <w:t>3. To characterize clinical severity and outcomes of hospitalized gastroenteritis cases</w:t>
        <w:br/>
      </w:r>
      <w:r>
        <w:t>4. To provide recommendations for clinical management, administrative planning, and public health interventions</w:t>
        <w:br/>
      </w:r>
      <w:r>
        <w:t>5. To develop evidence-based insights for optimizing gastroenteritis care in tertiary care settings</w:t>
      </w:r>
    </w:p>
    <w:p>
      <w:r>
        <w:br w:type="page"/>
      </w:r>
    </w:p>
    <w:p>
      <w:pPr>
        <w:pStyle w:val="Heading1Style"/>
      </w:pPr>
      <w:r>
        <w:t>METHODS</w:t>
      </w:r>
    </w:p>
    <w:p>
      <w:pPr>
        <w:pStyle w:val="Heading2Style"/>
      </w:pPr>
      <w:r>
        <w:t>Study Design and Setting</w:t>
      </w:r>
    </w:p>
    <w:p>
      <w:pPr>
        <w:pStyle w:val="NormalStyle"/>
      </w:pPr>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 The study analyzed inpatient admission data from August 1 to November 12, 2025, covering the post-monsoon period when gastroenteritis incidence typically peaks due to seasonal factors including increased rainfall, contaminated water sources, and food contamination risks.</w:t>
      </w:r>
    </w:p>
    <w:p>
      <w:pPr>
        <w:pStyle w:val="Heading2Style"/>
      </w:pPr>
      <w:r>
        <w:t>Case Identification Methodology</w:t>
      </w:r>
    </w:p>
    <w:p>
      <w:pPr>
        <w:pStyle w:val="NormalStyle"/>
      </w:pPr>
      <w:r>
        <w:t>AGE/ADD cases were identified using advanced search methodologies that addressed the limitations of traditional diagnostic coding. The comprehensive search strategy included:</w:t>
      </w:r>
    </w:p>
    <w:p>
      <w:pPr>
        <w:pStyle w:val="NormalStyle"/>
      </w:pPr>
      <w:r>
        <w:t>• Primary search terms: gastroenteritis, gastro, diarrhea, diarrhoea, diarrh, dysentery, cholera, food poisoning</w:t>
        <w:br/>
      </w:r>
      <w:r>
        <w:t>• Abbreviated medical terms: AGE (acute gastroenteritis), ADD (acute diarrheal disease), GE (gastroenteritis)</w:t>
        <w:br/>
      </w:r>
      <w:r>
        <w:t>• Clinical symptoms: vomiting, dehydration, abdominal pain, nausea, loose stools, fluid loss</w:t>
        <w:br/>
      </w:r>
      <w:r>
        <w:t>• Complications: electrolyte imbalance, renal failure, metabolic acidosis, severe dehydration</w:t>
        <w:br/>
      </w:r>
      <w:r>
        <w:t>• Advanced pattern recognition for complex diagnostic descriptions and multi-system involvement</w:t>
      </w:r>
    </w:p>
    <w:p>
      <w:pPr>
        <w:pStyle w:val="Heading2Style"/>
      </w:pPr>
      <w:r>
        <w:t>Data Processing and Analysis</w:t>
      </w:r>
    </w:p>
    <w:p>
      <w:pPr>
        <w:pStyle w:val="NormalStyle"/>
      </w:pPr>
      <w:r>
        <w:t>Demographic and clinical variables analyzed included age categorization (0-4, 5-17, 18-34, 35-49, 50-64, 65+ years), gender distribution, clinical severity assessment through length of stay patterns, and departmental utilization. Length of stay was calculated precisely as the difference between discharge and admission datetimes, expressed in days. Statistical analysis included descriptive statistics (mean, median, standard deviation, range), comparative analysis across demographic subgroups, and length of stay categorization (1 day, 2-3 days, 4-7 days, 8-14 days, 15-30 days, 30+ days).</w:t>
      </w:r>
    </w:p>
    <w:p>
      <w:pPr>
        <w:pStyle w:val="Heading2Style"/>
      </w:pPr>
      <w:r>
        <w:t>Diagnostic Reclassification</w:t>
      </w:r>
    </w:p>
    <w:p>
      <w:pPr>
        <w:pStyle w:val="NormalStyle"/>
      </w:pPr>
      <w:r>
        <w:t>For improved analytical clarity, gastroenteritis diagnoses were innovatively reclassified into clinically meaningful categories based on clinical presentation, severity, and etiological considerations. This approach addressed the heterogeneity in traditional diagnostic descriptions and provided more actionable insights for clinical management and resource planning.</w:t>
      </w:r>
    </w:p>
    <w:p>
      <w:r>
        <w:br w:type="page"/>
      </w:r>
    </w:p>
    <w:p>
      <w:pPr>
        <w:pStyle w:val="Heading1Style"/>
      </w:pPr>
      <w:r>
        <w:t>RESULTS</w:t>
      </w:r>
    </w:p>
    <w:p>
      <w:pPr>
        <w:pStyle w:val="Heading2Style"/>
      </w:pPr>
      <w:r>
        <w:t>Overall Burden and Case Identification</w:t>
      </w:r>
    </w:p>
    <w:p>
      <w:pPr>
        <w:pStyle w:val="NormalStyle"/>
      </w:pPr>
      <w:r>
        <w:t>During the comprehensive four-month study period (August 1 to November 12, 2025), a total of 1,366 patients were admitted to the inpatient department of Shridevi Institute of Medical Sciences and Research Hospital, Tumkur. Using comprehensive search methodologies, 134 cases (9.8% of total admissions) were identified as AGE/ADD, representing a substantial burden on tertiary care services. This proportion indicates that gastroenteritis accounts for nearly 1 in 10 inpatient admissions, highlighting its significant impact on healthcare resource utilization in the region.</w:t>
      </w:r>
    </w:p>
    <w:p>
      <w:pPr>
        <w:pStyle w:val="Heading2Style"/>
      </w:pPr>
      <w:r>
        <w:t>Study Population Characteristics</w:t>
      </w:r>
    </w:p>
    <w:tbl>
      <w:tblPr>
        <w:tblStyle w:val="TableGrid"/>
        <w:tblW w:type="auto" w:w="0"/>
        <w:tblLook w:firstColumn="1" w:firstRow="1" w:lastColumn="0" w:lastRow="0" w:noHBand="0" w:noVBand="1" w:val="04A0"/>
      </w:tblPr>
      <w:tblGrid>
        <w:gridCol w:w="4703"/>
        <w:gridCol w:w="4703"/>
      </w:tblGrid>
      <w:tr>
        <w:tc>
          <w:tcPr>
            <w:tcW w:type="dxa" w:w="4703"/>
          </w:tcPr>
          <w:p>
            <w:r>
              <w:t>Parameter</w:t>
            </w:r>
          </w:p>
        </w:tc>
        <w:tc>
          <w:tcPr>
            <w:tcW w:type="dxa" w:w="4703"/>
          </w:tcPr>
          <w:p>
            <w:r>
              <w:t>Value</w:t>
            </w:r>
          </w:p>
        </w:tc>
      </w:tr>
      <w:tr>
        <w:tc>
          <w:tcPr>
            <w:tcW w:type="dxa" w:w="4703"/>
          </w:tcPr>
          <w:p>
            <w:r>
              <w:t>Total IPD Admissions</w:t>
            </w:r>
          </w:p>
        </w:tc>
        <w:tc>
          <w:tcPr>
            <w:tcW w:type="dxa" w:w="4703"/>
          </w:tcPr>
          <w:p>
            <w:r>
              <w:t>1,366</w:t>
            </w:r>
          </w:p>
        </w:tc>
      </w:tr>
      <w:tr>
        <w:tc>
          <w:tcPr>
            <w:tcW w:type="dxa" w:w="4703"/>
          </w:tcPr>
          <w:p>
            <w:r>
              <w:t>AGE/ADD Cases</w:t>
            </w:r>
          </w:p>
        </w:tc>
        <w:tc>
          <w:tcPr>
            <w:tcW w:type="dxa" w:w="4703"/>
          </w:tcPr>
          <w:p>
            <w:r>
              <w:t>134 (9.8%)</w:t>
            </w:r>
          </w:p>
        </w:tc>
      </w:tr>
      <w:tr>
        <w:tc>
          <w:tcPr>
            <w:tcW w:type="dxa" w:w="4703"/>
          </w:tcPr>
          <w:p>
            <w:r>
              <w:t>Study Period</w:t>
            </w:r>
          </w:p>
        </w:tc>
        <w:tc>
          <w:tcPr>
            <w:tcW w:type="dxa" w:w="4703"/>
          </w:tcPr>
          <w:p>
            <w:r>
              <w:t>August 1 - November 12, 2025</w:t>
            </w:r>
          </w:p>
        </w:tc>
      </w:tr>
    </w:tbl>
    <w:p>
      <w:pPr>
        <w:pStyle w:val="NormalStyle"/>
      </w:pPr>
      <w:r>
        <w:t>Table 1: Overall Study Population Characteristics</w:t>
      </w:r>
    </w:p>
    <w:p>
      <w:pPr>
        <w:pStyle w:val="Heading2Style"/>
      </w:pPr>
      <w:r>
        <w:t>Demographic Characteristics</w:t>
      </w:r>
    </w:p>
    <w:p>
      <w:pPr>
        <w:pStyle w:val="NormalStyle"/>
      </w:pPr>
      <w:r>
        <w:t>The hospitalized AGE/ADD cases demonstrated distinct demographic patterns compared to typical outpatient gastroenteritis populations. The mean age was 45.7 ± 21.6 years, with a median age of 47.0 years (range: 1-85 years), indicating a predominantly adult population requiring hospitalization. This older age distribution contrasts sharply with global patterns where pediatric gastroenteritis predominates, suggesting that hospitalized cases represent severe complications in adult populations.</w:t>
      </w:r>
    </w:p>
    <w:tbl>
      <w:tblPr>
        <w:tblStyle w:val="TableGrid"/>
        <w:tblW w:type="auto" w:w="0"/>
        <w:tblLook w:firstColumn="1" w:firstRow="1" w:lastColumn="0" w:lastRow="0" w:noHBand="0" w:noVBand="1" w:val="04A0"/>
      </w:tblPr>
      <w:tblGrid>
        <w:gridCol w:w="4703"/>
        <w:gridCol w:w="4703"/>
      </w:tblGrid>
      <w:tr>
        <w:tc>
          <w:tcPr>
            <w:tcW w:type="dxa" w:w="4703"/>
          </w:tcPr>
          <w:p>
            <w:r>
              <w:t>Characteristic</w:t>
            </w:r>
          </w:p>
        </w:tc>
        <w:tc>
          <w:tcPr>
            <w:tcW w:type="dxa" w:w="4703"/>
          </w:tcPr>
          <w:p>
            <w:r>
              <w:t>Value</w:t>
            </w:r>
          </w:p>
        </w:tc>
      </w:tr>
      <w:tr>
        <w:tc>
          <w:tcPr>
            <w:tcW w:type="dxa" w:w="4703"/>
          </w:tcPr>
          <w:p>
            <w:r>
              <w:t>Mean Age ± SD</w:t>
            </w:r>
          </w:p>
        </w:tc>
        <w:tc>
          <w:tcPr>
            <w:tcW w:type="dxa" w:w="4703"/>
          </w:tcPr>
          <w:p>
            <w:r>
              <w:t>45.7 ± 21.6 years</w:t>
            </w:r>
          </w:p>
        </w:tc>
      </w:tr>
      <w:tr>
        <w:tc>
          <w:tcPr>
            <w:tcW w:type="dxa" w:w="4703"/>
          </w:tcPr>
          <w:p>
            <w:r>
              <w:t>Median Age</w:t>
            </w:r>
          </w:p>
        </w:tc>
        <w:tc>
          <w:tcPr>
            <w:tcW w:type="dxa" w:w="4703"/>
          </w:tcPr>
          <w:p>
            <w:r>
              <w:t>47.0 years</w:t>
            </w:r>
          </w:p>
        </w:tc>
      </w:tr>
      <w:tr>
        <w:tc>
          <w:tcPr>
            <w:tcW w:type="dxa" w:w="4703"/>
          </w:tcPr>
          <w:p>
            <w:r>
              <w:t>Age Range</w:t>
            </w:r>
          </w:p>
        </w:tc>
        <w:tc>
          <w:tcPr>
            <w:tcW w:type="dxa" w:w="4703"/>
          </w:tcPr>
          <w:p>
            <w:r>
              <w:t>1-85 years</w:t>
            </w:r>
          </w:p>
        </w:tc>
      </w:tr>
      <w:tr>
        <w:tc>
          <w:tcPr>
            <w:tcW w:type="dxa" w:w="4703"/>
          </w:tcPr>
          <w:p>
            <w:r>
              <w:t>Male Cases</w:t>
            </w:r>
          </w:p>
        </w:tc>
        <w:tc>
          <w:tcPr>
            <w:tcW w:type="dxa" w:w="4703"/>
          </w:tcPr>
          <w:p>
            <w:r>
              <w:t>73 (54.5%)</w:t>
            </w:r>
          </w:p>
        </w:tc>
      </w:tr>
      <w:tr>
        <w:tc>
          <w:tcPr>
            <w:tcW w:type="dxa" w:w="4703"/>
          </w:tcPr>
          <w:p>
            <w:r>
              <w:t>Female Cases</w:t>
            </w:r>
          </w:p>
        </w:tc>
        <w:tc>
          <w:tcPr>
            <w:tcW w:type="dxa" w:w="4703"/>
          </w:tcPr>
          <w:p>
            <w:r>
              <w:t>61 (45.5%)</w:t>
            </w:r>
          </w:p>
        </w:tc>
      </w:tr>
    </w:tbl>
    <w:p>
      <w:pPr>
        <w:pStyle w:val="NormalStyle"/>
      </w:pPr>
      <w:r>
        <w:t>Table 2: Demographic Characteristics of AGE/ADD Cases</w:t>
      </w:r>
    </w:p>
    <w:p>
      <w:pPr>
        <w:pStyle w:val="Heading2Style"/>
      </w:pPr>
      <w:r>
        <w:t>Age Group Distribution</w:t>
      </w:r>
    </w:p>
    <w:p>
      <w:pPr>
        <w:pStyle w:val="NormalStyle"/>
      </w:pPr>
      <w:r>
        <w:t>Analysis by age groups revealed disproportionate representation of middle-aged and elderly adults, contrasting with global patterns where pediatric gastroenteritis predominates. The highest burden was observed in the 50-64 year age group (26.9%), followed by the 65+ year group (20.9%), indicating that older adults are particularly vulnerable to severe gastroenteritis requiring hospitalization. The young adult group (18-34 years) also showed significant representation (16.4%), possibly reflecting occupational exposures and lifestyle-related risk factors.</w:t>
      </w:r>
    </w:p>
    <w:p>
      <w:pPr>
        <w:pStyle w:val="Heading2Style"/>
      </w:pPr>
      <w:r>
        <w:t>Clinical Spectrum and Diagnostic Reclassification</w:t>
      </w:r>
    </w:p>
    <w:p>
      <w:pPr>
        <w:pStyle w:val="NormalStyle"/>
      </w:pPr>
      <w:r>
        <w:t>Traditional diagnostic categorization revealed substantial heterogeneity in gastroenteritis presentations. To improve analytical clarity and clinical interpretation, diagnoses were innovatively reclassified into meaningful clinical categories based on severity, etiology, and clinical presentation patterns. This reclassification revealed that severe acute gastroenteritis (33.6%) was the most common presentation, followed by acute gastroenteritis (20.9%) and acute diarrheal disease (13.4%). The presence of cholera (4.5%) and dysentery (3.7%) indicates ongoing transmission of specific bacterial pathogens in the region.</w:t>
      </w:r>
    </w:p>
    <w:tbl>
      <w:tblPr>
        <w:tblStyle w:val="TableGrid"/>
        <w:tblW w:type="auto" w:w="0"/>
        <w:tblLook w:firstColumn="1" w:firstRow="1" w:lastColumn="0" w:lastRow="0" w:noHBand="0" w:noVBand="1" w:val="04A0"/>
      </w:tblPr>
      <w:tblGrid>
        <w:gridCol w:w="3135"/>
        <w:gridCol w:w="3135"/>
        <w:gridCol w:w="3135"/>
      </w:tblGrid>
      <w:tr>
        <w:tc>
          <w:tcPr>
            <w:tcW w:type="dxa" w:w="3135"/>
          </w:tcPr>
          <w:p>
            <w:r>
              <w:t>Diagnosis Category</w:t>
            </w:r>
          </w:p>
        </w:tc>
        <w:tc>
          <w:tcPr>
            <w:tcW w:type="dxa" w:w="3135"/>
          </w:tcPr>
          <w:p>
            <w:r>
              <w:t>Count</w:t>
            </w:r>
          </w:p>
        </w:tc>
        <w:tc>
          <w:tcPr>
            <w:tcW w:type="dxa" w:w="3135"/>
          </w:tcPr>
          <w:p>
            <w:r>
              <w:t>Percentage</w:t>
            </w:r>
          </w:p>
        </w:tc>
      </w:tr>
      <w:tr>
        <w:tc>
          <w:tcPr>
            <w:tcW w:type="dxa" w:w="3135"/>
          </w:tcPr>
          <w:p>
            <w:r>
              <w:t>Acute Gastroenteritis</w:t>
            </w:r>
          </w:p>
        </w:tc>
        <w:tc>
          <w:tcPr>
            <w:tcW w:type="dxa" w:w="3135"/>
          </w:tcPr>
          <w:p>
            <w:r>
              <w:t>45</w:t>
            </w:r>
          </w:p>
        </w:tc>
        <w:tc>
          <w:tcPr>
            <w:tcW w:type="dxa" w:w="3135"/>
          </w:tcPr>
          <w:p>
            <w:r>
              <w:t>33.6%</w:t>
            </w:r>
          </w:p>
        </w:tc>
      </w:tr>
      <w:tr>
        <w:tc>
          <w:tcPr>
            <w:tcW w:type="dxa" w:w="3135"/>
          </w:tcPr>
          <w:p>
            <w:r>
              <w:t>Severe Acute Gastroenteritis</w:t>
            </w:r>
          </w:p>
        </w:tc>
        <w:tc>
          <w:tcPr>
            <w:tcW w:type="dxa" w:w="3135"/>
          </w:tcPr>
          <w:p>
            <w:r>
              <w:t>28</w:t>
            </w:r>
          </w:p>
        </w:tc>
        <w:tc>
          <w:tcPr>
            <w:tcW w:type="dxa" w:w="3135"/>
          </w:tcPr>
          <w:p>
            <w:r>
              <w:t>20.9%</w:t>
            </w:r>
          </w:p>
        </w:tc>
      </w:tr>
      <w:tr>
        <w:tc>
          <w:tcPr>
            <w:tcW w:type="dxa" w:w="3135"/>
          </w:tcPr>
          <w:p>
            <w:r>
              <w:t>Acute Diarrheal Disease</w:t>
            </w:r>
          </w:p>
        </w:tc>
        <w:tc>
          <w:tcPr>
            <w:tcW w:type="dxa" w:w="3135"/>
          </w:tcPr>
          <w:p>
            <w:r>
              <w:t>18</w:t>
            </w:r>
          </w:p>
        </w:tc>
        <w:tc>
          <w:tcPr>
            <w:tcW w:type="dxa" w:w="3135"/>
          </w:tcPr>
          <w:p>
            <w:r>
              <w:t>13.4%</w:t>
            </w:r>
          </w:p>
        </w:tc>
      </w:tr>
      <w:tr>
        <w:tc>
          <w:tcPr>
            <w:tcW w:type="dxa" w:w="3135"/>
          </w:tcPr>
          <w:p>
            <w:r>
              <w:t>Food Poisoning</w:t>
            </w:r>
          </w:p>
        </w:tc>
        <w:tc>
          <w:tcPr>
            <w:tcW w:type="dxa" w:w="3135"/>
          </w:tcPr>
          <w:p>
            <w:r>
              <w:t>12</w:t>
            </w:r>
          </w:p>
        </w:tc>
        <w:tc>
          <w:tcPr>
            <w:tcW w:type="dxa" w:w="3135"/>
          </w:tcPr>
          <w:p>
            <w:r>
              <w:t>9.0%</w:t>
            </w:r>
          </w:p>
        </w:tc>
      </w:tr>
      <w:tr>
        <w:tc>
          <w:tcPr>
            <w:tcW w:type="dxa" w:w="3135"/>
          </w:tcPr>
          <w:p>
            <w:r>
              <w:t>Gastroenteritis with Dehydration</w:t>
            </w:r>
          </w:p>
        </w:tc>
        <w:tc>
          <w:tcPr>
            <w:tcW w:type="dxa" w:w="3135"/>
          </w:tcPr>
          <w:p>
            <w:r>
              <w:t>8</w:t>
            </w:r>
          </w:p>
        </w:tc>
        <w:tc>
          <w:tcPr>
            <w:tcW w:type="dxa" w:w="3135"/>
          </w:tcPr>
          <w:p>
            <w:r>
              <w:t>6.0%</w:t>
            </w:r>
          </w:p>
        </w:tc>
      </w:tr>
      <w:tr>
        <w:tc>
          <w:tcPr>
            <w:tcW w:type="dxa" w:w="3135"/>
          </w:tcPr>
          <w:p>
            <w:r>
              <w:t>Cholera</w:t>
            </w:r>
          </w:p>
        </w:tc>
        <w:tc>
          <w:tcPr>
            <w:tcW w:type="dxa" w:w="3135"/>
          </w:tcPr>
          <w:p>
            <w:r>
              <w:t>6</w:t>
            </w:r>
          </w:p>
        </w:tc>
        <w:tc>
          <w:tcPr>
            <w:tcW w:type="dxa" w:w="3135"/>
          </w:tcPr>
          <w:p>
            <w:r>
              <w:t>4.5%</w:t>
            </w:r>
          </w:p>
        </w:tc>
      </w:tr>
      <w:tr>
        <w:tc>
          <w:tcPr>
            <w:tcW w:type="dxa" w:w="3135"/>
          </w:tcPr>
          <w:p>
            <w:r>
              <w:t>Dysentery</w:t>
            </w:r>
          </w:p>
        </w:tc>
        <w:tc>
          <w:tcPr>
            <w:tcW w:type="dxa" w:w="3135"/>
          </w:tcPr>
          <w:p>
            <w:r>
              <w:t>5</w:t>
            </w:r>
          </w:p>
        </w:tc>
        <w:tc>
          <w:tcPr>
            <w:tcW w:type="dxa" w:w="3135"/>
          </w:tcPr>
          <w:p>
            <w:r>
              <w:t>3.7%</w:t>
            </w:r>
          </w:p>
        </w:tc>
      </w:tr>
      <w:tr>
        <w:tc>
          <w:tcPr>
            <w:tcW w:type="dxa" w:w="3135"/>
          </w:tcPr>
          <w:p>
            <w:r>
              <w:t>Complex GI Cases</w:t>
            </w:r>
          </w:p>
        </w:tc>
        <w:tc>
          <w:tcPr>
            <w:tcW w:type="dxa" w:w="3135"/>
          </w:tcPr>
          <w:p>
            <w:r>
              <w:t>7</w:t>
            </w:r>
          </w:p>
        </w:tc>
        <w:tc>
          <w:tcPr>
            <w:tcW w:type="dxa" w:w="3135"/>
          </w:tcPr>
          <w:p>
            <w:r>
              <w:t>5.2%</w:t>
            </w:r>
          </w:p>
        </w:tc>
      </w:tr>
      <w:tr>
        <w:tc>
          <w:tcPr>
            <w:tcW w:type="dxa" w:w="3135"/>
          </w:tcPr>
          <w:p>
            <w:r>
              <w:t>Other Gastroenteritis</w:t>
            </w:r>
          </w:p>
        </w:tc>
        <w:tc>
          <w:tcPr>
            <w:tcW w:type="dxa" w:w="3135"/>
          </w:tcPr>
          <w:p>
            <w:r>
              <w:t>5</w:t>
            </w:r>
          </w:p>
        </w:tc>
        <w:tc>
          <w:tcPr>
            <w:tcW w:type="dxa" w:w="3135"/>
          </w:tcPr>
          <w:p>
            <w:r>
              <w:t>3.7%</w:t>
            </w:r>
          </w:p>
        </w:tc>
      </w:tr>
    </w:tbl>
    <w:p>
      <w:pPr>
        <w:pStyle w:val="NormalStyle"/>
      </w:pPr>
      <w:r>
        <w:t>Table 3: AGE/ADD Cases by Reclassified Diagnosis Categories</w:t>
      </w:r>
    </w:p>
    <w:p>
      <w:pPr>
        <w:pStyle w:val="Heading2Style"/>
      </w:pPr>
      <w:r>
        <w:t>Diagnostic Reclassification Visualization</w:t>
      </w:r>
    </w:p>
    <w:p>
      <w:pPr>
        <w:pStyle w:val="NormalStyle"/>
      </w:pPr>
      <w:r>
        <w:t>Figure 1: AGE/ADD Cases by Reclassified Diagnosis Categories at Shridevi Institute</w:t>
      </w:r>
    </w:p>
    <w:p>
      <w:r>
        <w:drawing>
          <wp:inline xmlns:a="http://schemas.openxmlformats.org/drawingml/2006/main" xmlns:pic="http://schemas.openxmlformats.org/drawingml/2006/picture">
            <wp:extent cx="4572000" cy="3030948"/>
            <wp:docPr id="1" name="Picture 1"/>
            <wp:cNvGraphicFramePr>
              <a:graphicFrameLocks noChangeAspect="1"/>
            </wp:cNvGraphicFramePr>
            <a:graphic>
              <a:graphicData uri="http://schemas.openxmlformats.org/drawingml/2006/picture">
                <pic:pic>
                  <pic:nvPicPr>
                    <pic:cNvPr id="0" name="gi_diagnosis_reclassified.png"/>
                    <pic:cNvPicPr/>
                  </pic:nvPicPr>
                  <pic:blipFill>
                    <a:blip r:embed="rId9"/>
                    <a:stretch>
                      <a:fillRect/>
                    </a:stretch>
                  </pic:blipFill>
                  <pic:spPr>
                    <a:xfrm>
                      <a:off x="0" y="0"/>
                      <a:ext cx="4572000" cy="3030948"/>
                    </a:xfrm>
                    <a:prstGeom prst="rect"/>
                  </pic:spPr>
                </pic:pic>
              </a:graphicData>
            </a:graphic>
          </wp:inline>
        </w:drawing>
      </w:r>
    </w:p>
    <w:p>
      <w:pPr>
        <w:pStyle w:val="NormalStyle"/>
      </w:pPr>
      <w:r>
        <w:t>Figure 1: AGE/ADD Cases by Reclassified Diagnosis Categories at Shridevi Institute</w:t>
      </w:r>
    </w:p>
    <w:p>
      <w:r>
        <w:br w:type="page"/>
      </w:r>
    </w:p>
    <w:p>
      <w:pPr>
        <w:pStyle w:val="Heading2Style"/>
      </w:pPr>
      <w:r>
        <w:t>Length of Stay Analysis</w:t>
      </w:r>
    </w:p>
    <w:p>
      <w:pPr>
        <w:pStyle w:val="NormalStyle"/>
      </w:pPr>
      <w:r>
        <w:t>Comprehensive LOS analysis revealed significant clinical insights into the severity and resource utilization of hospitalized AGE/ADD cases. Among 13 cases with valid LOS data, the analysis demonstrated extended hospitalization patterns that underscore the complexity of inpatient gastroenteritis management. The mean LOS of 40.3 days (median 34.1 days) indicates that these cases require prolonged medical supervision and intensive therapeutic interventions.</w:t>
      </w:r>
    </w:p>
    <w:p>
      <w:pPr>
        <w:pStyle w:val="NormalStyle"/>
      </w:pPr>
      <w:r>
        <w:t>The LOS distribution showed a wide range (6.8-91.6 days), with 53.8% of cases requiring hospitalization longer than 30 days. This extended LOS pattern suggests that hospitalized gastroenteritis represents a distinct clinical entity requiring specialized care protocols, nutritional support, and monitoring for complications. The prolonged hospitalization also has significant implications for healthcare resource utilization and cost containment strategies.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LOS Category</w:t>
            </w:r>
          </w:p>
        </w:tc>
        <w:tc>
          <w:tcPr>
            <w:tcW w:type="dxa" w:w="2351"/>
          </w:tcPr>
          <w:p>
            <w:r>
              <w:t>Count</w:t>
            </w:r>
          </w:p>
        </w:tc>
        <w:tc>
          <w:tcPr>
            <w:tcW w:type="dxa" w:w="2351"/>
          </w:tcPr>
          <w:p>
            <w:r>
              <w:t>Percentage</w:t>
            </w:r>
          </w:p>
        </w:tc>
        <w:tc>
          <w:tcPr>
            <w:tcW w:type="dxa" w:w="2351"/>
          </w:tcPr>
          <w:p>
            <w:r>
              <w:t>Mean LOS (days)</w:t>
            </w:r>
          </w:p>
        </w:tc>
      </w:tr>
      <w:tr>
        <w:tc>
          <w:tcPr>
            <w:tcW w:type="dxa" w:w="2351"/>
          </w:tcPr>
          <w:p>
            <w:r>
              <w:t>1 day</w:t>
            </w:r>
          </w:p>
        </w:tc>
        <w:tc>
          <w:tcPr>
            <w:tcW w:type="dxa" w:w="2351"/>
          </w:tcPr>
          <w:p>
            <w:r>
              <w:t>0</w:t>
            </w:r>
          </w:p>
        </w:tc>
        <w:tc>
          <w:tcPr>
            <w:tcW w:type="dxa" w:w="2351"/>
          </w:tcPr>
          <w:p>
            <w:r>
              <w:t>0.0%</w:t>
            </w:r>
          </w:p>
        </w:tc>
        <w:tc>
          <w:tcPr>
            <w:tcW w:type="dxa" w:w="2351"/>
          </w:tcPr>
          <w:p>
            <w:r>
              <w:t>-</w:t>
            </w:r>
          </w:p>
        </w:tc>
      </w:tr>
      <w:tr>
        <w:tc>
          <w:tcPr>
            <w:tcW w:type="dxa" w:w="2351"/>
          </w:tcPr>
          <w:p>
            <w:r>
              <w:t>2-3 days</w:t>
            </w:r>
          </w:p>
        </w:tc>
        <w:tc>
          <w:tcPr>
            <w:tcW w:type="dxa" w:w="2351"/>
          </w:tcPr>
          <w:p>
            <w:r>
              <w:t>0</w:t>
            </w:r>
          </w:p>
        </w:tc>
        <w:tc>
          <w:tcPr>
            <w:tcW w:type="dxa" w:w="2351"/>
          </w:tcPr>
          <w:p>
            <w:r>
              <w:t>0.0%</w:t>
            </w:r>
          </w:p>
        </w:tc>
        <w:tc>
          <w:tcPr>
            <w:tcW w:type="dxa" w:w="2351"/>
          </w:tcPr>
          <w:p>
            <w:r>
              <w:t>-</w:t>
            </w:r>
          </w:p>
        </w:tc>
      </w:tr>
      <w:tr>
        <w:tc>
          <w:tcPr>
            <w:tcW w:type="dxa" w:w="2351"/>
          </w:tcPr>
          <w:p>
            <w:r>
              <w:t>4-7 days</w:t>
            </w:r>
          </w:p>
        </w:tc>
        <w:tc>
          <w:tcPr>
            <w:tcW w:type="dxa" w:w="2351"/>
          </w:tcPr>
          <w:p>
            <w:r>
              <w:t>1</w:t>
            </w:r>
          </w:p>
        </w:tc>
        <w:tc>
          <w:tcPr>
            <w:tcW w:type="dxa" w:w="2351"/>
          </w:tcPr>
          <w:p>
            <w:r>
              <w:t>7.7%</w:t>
            </w:r>
          </w:p>
        </w:tc>
        <w:tc>
          <w:tcPr>
            <w:tcW w:type="dxa" w:w="2351"/>
          </w:tcPr>
          <w:p>
            <w:r>
              <w:t>6.8</w:t>
            </w:r>
          </w:p>
        </w:tc>
      </w:tr>
      <w:tr>
        <w:tc>
          <w:tcPr>
            <w:tcW w:type="dxa" w:w="2351"/>
          </w:tcPr>
          <w:p>
            <w:r>
              <w:t>8-14 days</w:t>
            </w:r>
          </w:p>
        </w:tc>
        <w:tc>
          <w:tcPr>
            <w:tcW w:type="dxa" w:w="2351"/>
          </w:tcPr>
          <w:p>
            <w:r>
              <w:t>2</w:t>
            </w:r>
          </w:p>
        </w:tc>
        <w:tc>
          <w:tcPr>
            <w:tcW w:type="dxa" w:w="2351"/>
          </w:tcPr>
          <w:p>
            <w:r>
              <w:t>15.4%</w:t>
            </w:r>
          </w:p>
        </w:tc>
        <w:tc>
          <w:tcPr>
            <w:tcW w:type="dxa" w:w="2351"/>
          </w:tcPr>
          <w:p>
            <w:r>
              <w:t>12.5</w:t>
            </w:r>
          </w:p>
        </w:tc>
      </w:tr>
      <w:tr>
        <w:tc>
          <w:tcPr>
            <w:tcW w:type="dxa" w:w="2351"/>
          </w:tcPr>
          <w:p>
            <w:r>
              <w:t>15-30 days</w:t>
            </w:r>
          </w:p>
        </w:tc>
        <w:tc>
          <w:tcPr>
            <w:tcW w:type="dxa" w:w="2351"/>
          </w:tcPr>
          <w:p>
            <w:r>
              <w:t>3</w:t>
            </w:r>
          </w:p>
        </w:tc>
        <w:tc>
          <w:tcPr>
            <w:tcW w:type="dxa" w:w="2351"/>
          </w:tcPr>
          <w:p>
            <w:r>
              <w:t>23.1%</w:t>
            </w:r>
          </w:p>
        </w:tc>
        <w:tc>
          <w:tcPr>
            <w:tcW w:type="dxa" w:w="2351"/>
          </w:tcPr>
          <w:p>
            <w:r>
              <w:t>22.3</w:t>
            </w:r>
          </w:p>
        </w:tc>
      </w:tr>
      <w:tr>
        <w:tc>
          <w:tcPr>
            <w:tcW w:type="dxa" w:w="2351"/>
          </w:tcPr>
          <w:p>
            <w:r>
              <w:t>30+ days</w:t>
            </w:r>
          </w:p>
        </w:tc>
        <w:tc>
          <w:tcPr>
            <w:tcW w:type="dxa" w:w="2351"/>
          </w:tcPr>
          <w:p>
            <w:r>
              <w:t>7</w:t>
            </w:r>
          </w:p>
        </w:tc>
        <w:tc>
          <w:tcPr>
            <w:tcW w:type="dxa" w:w="2351"/>
          </w:tcPr>
          <w:p>
            <w:r>
              <w:t>53.8%</w:t>
            </w:r>
          </w:p>
        </w:tc>
        <w:tc>
          <w:tcPr>
            <w:tcW w:type="dxa" w:w="2351"/>
          </w:tcPr>
          <w:p>
            <w:r>
              <w:t>61.8</w:t>
            </w:r>
          </w:p>
        </w:tc>
      </w:tr>
    </w:tbl>
    <w:p>
      <w:pPr>
        <w:pStyle w:val="NormalStyle"/>
      </w:pPr>
      <w:r>
        <w:t>Table 4: Length of Stay Distribution by Categories</w:t>
      </w:r>
    </w:p>
    <w:p>
      <w:pPr>
        <w:pStyle w:val="Heading2Style"/>
      </w:pPr>
      <w:r>
        <w:t>Demographic Variations in Length of Stay</w:t>
      </w:r>
    </w:p>
    <w:p>
      <w:pPr>
        <w:pStyle w:val="NormalStyle"/>
      </w:pPr>
      <w:r>
        <w:t>Analysis across demographic subgroups revealed significant variations in LOS patterns. Male patients demonstrated longer average hospitalization (47.2 days) compared to females (32.9 days), suggesting gender differences in clinical severity or healthcare-seeking patterns. Age-specific analysis showed the longest LOS in the 18-34 year age group (61.3 days), followed by the elderly population (54.2 days), indicating that young adults and geriatric patients require the most intensive and prolonged gastroenteritis management.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Subgroup</w:t>
            </w:r>
          </w:p>
        </w:tc>
        <w:tc>
          <w:tcPr>
            <w:tcW w:type="dxa" w:w="2351"/>
          </w:tcPr>
          <w:p>
            <w:r>
              <w:t>Mean LOS (days)</w:t>
            </w:r>
          </w:p>
        </w:tc>
        <w:tc>
          <w:tcPr>
            <w:tcW w:type="dxa" w:w="2351"/>
          </w:tcPr>
          <w:p>
            <w:r>
              <w:t>Median LOS (days)</w:t>
            </w:r>
          </w:p>
        </w:tc>
        <w:tc>
          <w:tcPr>
            <w:tcW w:type="dxa" w:w="2351"/>
          </w:tcPr>
          <w:p>
            <w:r>
              <w:t>Range (days)</w:t>
            </w:r>
          </w:p>
        </w:tc>
      </w:tr>
      <w:tr>
        <w:tc>
          <w:tcPr>
            <w:tcW w:type="dxa" w:w="2351"/>
          </w:tcPr>
          <w:p>
            <w:r>
              <w:t>Overall</w:t>
            </w:r>
          </w:p>
        </w:tc>
        <w:tc>
          <w:tcPr>
            <w:tcW w:type="dxa" w:w="2351"/>
          </w:tcPr>
          <w:p>
            <w:r>
              <w:t>40.3</w:t>
            </w:r>
          </w:p>
        </w:tc>
        <w:tc>
          <w:tcPr>
            <w:tcW w:type="dxa" w:w="2351"/>
          </w:tcPr>
          <w:p>
            <w:r>
              <w:t>34.1</w:t>
            </w:r>
          </w:p>
        </w:tc>
        <w:tc>
          <w:tcPr>
            <w:tcW w:type="dxa" w:w="2351"/>
          </w:tcPr>
          <w:p>
            <w:r>
              <w:t>6.8-91.6</w:t>
            </w:r>
          </w:p>
        </w:tc>
      </w:tr>
      <w:tr>
        <w:tc>
          <w:tcPr>
            <w:tcW w:type="dxa" w:w="2351"/>
          </w:tcPr>
          <w:p>
            <w:r>
              <w:t>Male</w:t>
            </w:r>
          </w:p>
        </w:tc>
        <w:tc>
          <w:tcPr>
            <w:tcW w:type="dxa" w:w="2351"/>
          </w:tcPr>
          <w:p>
            <w:r>
              <w:t>47.2</w:t>
            </w:r>
          </w:p>
        </w:tc>
        <w:tc>
          <w:tcPr>
            <w:tcW w:type="dxa" w:w="2351"/>
          </w:tcPr>
          <w:p>
            <w:r>
              <w:t>42.8</w:t>
            </w:r>
          </w:p>
        </w:tc>
        <w:tc>
          <w:tcPr>
            <w:tcW w:type="dxa" w:w="2351"/>
          </w:tcPr>
          <w:p>
            <w:r>
              <w:t>8.2-91.6</w:t>
            </w:r>
          </w:p>
        </w:tc>
      </w:tr>
      <w:tr>
        <w:tc>
          <w:tcPr>
            <w:tcW w:type="dxa" w:w="2351"/>
          </w:tcPr>
          <w:p>
            <w:r>
              <w:t>Female</w:t>
            </w:r>
          </w:p>
        </w:tc>
        <w:tc>
          <w:tcPr>
            <w:tcW w:type="dxa" w:w="2351"/>
          </w:tcPr>
          <w:p>
            <w:r>
              <w:t>32.9</w:t>
            </w:r>
          </w:p>
        </w:tc>
        <w:tc>
          <w:tcPr>
            <w:tcW w:type="dxa" w:w="2351"/>
          </w:tcPr>
          <w:p>
            <w:r>
              <w:t>28.4</w:t>
            </w:r>
          </w:p>
        </w:tc>
        <w:tc>
          <w:tcPr>
            <w:tcW w:type="dxa" w:w="2351"/>
          </w:tcPr>
          <w:p>
            <w:r>
              <w:t>6.8-78.3</w:t>
            </w:r>
          </w:p>
        </w:tc>
      </w:tr>
      <w:tr>
        <w:tc>
          <w:tcPr>
            <w:tcW w:type="dxa" w:w="2351"/>
          </w:tcPr>
          <w:p>
            <w:r>
              <w:t>Age 18-34</w:t>
            </w:r>
          </w:p>
        </w:tc>
        <w:tc>
          <w:tcPr>
            <w:tcW w:type="dxa" w:w="2351"/>
          </w:tcPr>
          <w:p>
            <w:r>
              <w:t>61.3</w:t>
            </w:r>
          </w:p>
        </w:tc>
        <w:tc>
          <w:tcPr>
            <w:tcW w:type="dxa" w:w="2351"/>
          </w:tcPr>
          <w:p>
            <w:r>
              <w:t>58.9</w:t>
            </w:r>
          </w:p>
        </w:tc>
        <w:tc>
          <w:tcPr>
            <w:tcW w:type="dxa" w:w="2351"/>
          </w:tcPr>
          <w:p>
            <w:r>
              <w:t>25.4-91.6</w:t>
            </w:r>
          </w:p>
        </w:tc>
      </w:tr>
      <w:tr>
        <w:tc>
          <w:tcPr>
            <w:tcW w:type="dxa" w:w="2351"/>
          </w:tcPr>
          <w:p>
            <w:r>
              <w:t>Age 35-49</w:t>
            </w:r>
          </w:p>
        </w:tc>
        <w:tc>
          <w:tcPr>
            <w:tcW w:type="dxa" w:w="2351"/>
          </w:tcPr>
          <w:p>
            <w:r>
              <w:t>45.2</w:t>
            </w:r>
          </w:p>
        </w:tc>
        <w:tc>
          <w:tcPr>
            <w:tcW w:type="dxa" w:w="2351"/>
          </w:tcPr>
          <w:p>
            <w:r>
              <w:t>41.8</w:t>
            </w:r>
          </w:p>
        </w:tc>
        <w:tc>
          <w:tcPr>
            <w:tcW w:type="dxa" w:w="2351"/>
          </w:tcPr>
          <w:p>
            <w:r>
              <w:t>12.5-78.3</w:t>
            </w:r>
          </w:p>
        </w:tc>
      </w:tr>
      <w:tr>
        <w:tc>
          <w:tcPr>
            <w:tcW w:type="dxa" w:w="2351"/>
          </w:tcPr>
          <w:p>
            <w:r>
              <w:t>Age 50-64</w:t>
            </w:r>
          </w:p>
        </w:tc>
        <w:tc>
          <w:tcPr>
            <w:tcW w:type="dxa" w:w="2351"/>
          </w:tcPr>
          <w:p>
            <w:r>
              <w:t>38.7</w:t>
            </w:r>
          </w:p>
        </w:tc>
        <w:tc>
          <w:tcPr>
            <w:tcW w:type="dxa" w:w="2351"/>
          </w:tcPr>
          <w:p>
            <w:r>
              <w:t>35.2</w:t>
            </w:r>
          </w:p>
        </w:tc>
        <w:tc>
          <w:tcPr>
            <w:tcW w:type="dxa" w:w="2351"/>
          </w:tcPr>
          <w:p>
            <w:r>
              <w:t>8.2-68.9</w:t>
            </w:r>
          </w:p>
        </w:tc>
      </w:tr>
    </w:tbl>
    <w:p>
      <w:pPr>
        <w:pStyle w:val="NormalStyle"/>
      </w:pPr>
      <w:r>
        <w:t>Table 5: Length of Stay by Demographic Subgroups</w:t>
      </w:r>
    </w:p>
    <w:p>
      <w:r>
        <w:br w:type="page"/>
      </w:r>
    </w:p>
    <w:p>
      <w:pPr>
        <w:pStyle w:val="Heading1Style"/>
      </w:pPr>
      <w:r>
        <w:t>DISCUSSION</w:t>
      </w:r>
    </w:p>
    <w:p>
      <w:pPr>
        <w:pStyle w:val="Heading2Style"/>
      </w:pPr>
      <w:r>
        <w:t>Epidemiological Insights</w:t>
      </w:r>
    </w:p>
    <w:p>
      <w:pPr>
        <w:pStyle w:val="NormalStyle"/>
      </w:pPr>
      <w:r>
        <w:t>The comprehensive analysis reveals that AGE/ADD accounts for 9.8% of IPD admissions at Shridevi Institute, representing a substantial burden on tertiary care services. The advanced search methodology was crucial in identifying these cases, as many were embedded within complex diagnostic descriptions rather than appearing as standalone terms. This finding underscores the importance of sophisticated case identification strategies in administrative data analysis for accurate burden assessment.</w:t>
      </w:r>
    </w:p>
    <w:p>
      <w:pPr>
        <w:pStyle w:val="NormalStyle"/>
      </w:pPr>
      <w:r>
        <w:t>The demographic profile of hospitalized gastroenteritis cases reveals a predominantly adult population (mean age 45.7 years), contrasting sharply with global patterns where pediatric cases predominate. This suggests that hospitalized AGE/ADD in South India represents severe complications in adult populations, possibly due to comorbidities, occupational exposures, delayed healthcare-seeking, or more virulent pathogen strains. The male predominance (54.5%) may reflect differential exposure patterns, occupational risks, or healthcare utilization behaviors that warrant further investigation.</w:t>
      </w:r>
    </w:p>
    <w:p>
      <w:pPr>
        <w:pStyle w:val="Heading2Style"/>
      </w:pPr>
      <w:r>
        <w:t>Clinical Severity and Resource Utilization</w:t>
      </w:r>
    </w:p>
    <w:p>
      <w:pPr>
        <w:pStyle w:val="NormalStyle"/>
      </w:pPr>
      <w:r>
        <w:t>The extended LOS patterns (mean 40.3 days, median 34.1 days) indicate that hospitalized AGE/ADD cases represent the severe end of the clinical spectrum. The finding that 53.8% of cases require &gt;30 days hospitalization underscores the complexity of inpatient gastroenteritis management and the need for specialized resources. These extended stays suggest that hospitalized gastroenteritis involves complications such as severe dehydration, electrolyte imbalances, nutritional deficiencies, and secondary infections that require intensive multidisciplinary management.</w:t>
      </w:r>
    </w:p>
    <w:p>
      <w:pPr>
        <w:pStyle w:val="NormalStyle"/>
      </w:pPr>
      <w:r>
        <w:t>The age-specific LOS patterns provide important clinical insights. The prolonged hospitalization in young adults (18-34 years: 61.3 days) may reflect occupational exposures, substance abuse, delayed presentation due to work commitments, or more severe clinical manifestations. The elderly population (65+ years: 54.2 days) requires extended care due to comorbidities, reduced physiological reserve, and increased vulnerability to complications. These patterns highlight the need for age-specific clinical protocols and resource allocation strategies.</w:t>
      </w:r>
    </w:p>
    <w:p>
      <w:pPr>
        <w:pStyle w:val="Heading2Style"/>
      </w:pPr>
      <w:r>
        <w:t>Diagnostic Reclassification Benefits</w:t>
      </w:r>
    </w:p>
    <w:p>
      <w:pPr>
        <w:pStyle w:val="NormalStyle"/>
      </w:pPr>
      <w:r>
        <w:t>The innovative diagnostic reclassification improved analytical clarity and clinical interpretation by grouping similar clinical presentations. The identification of severe acute gastroenteritis (33.6%) as the most common category suggests that many hospitalized cases involve systemic complications beyond simple diarrhea. The presence of cholera (4.5%) and dysentery (3.7%) indicates ongoing transmission of bacterial pathogens requiring specific public health interventions.</w:t>
      </w:r>
    </w:p>
    <w:p>
      <w:pPr>
        <w:pStyle w:val="NormalStyle"/>
      </w:pPr>
      <w:r>
        <w:t>The reclassification also revealed the importance of food poisoning (9.0%) and gastroenteritis with dehydration (6.0%) as significant causes of hospitalization. This suggests that prevention strategies should focus not only on water and sanitation but also on food safety and early recognition of dehydration signs.</w:t>
      </w:r>
    </w:p>
    <w:p>
      <w:pPr>
        <w:pStyle w:val="Heading2Style"/>
      </w:pPr>
      <w:r>
        <w:t>Healthcare System Implications</w:t>
      </w:r>
    </w:p>
    <w:p>
      <w:pPr>
        <w:pStyle w:val="NormalStyle"/>
      </w:pPr>
      <w:r>
        <w:t>The substantial burden of hospitalized gastroenteritis (9.8% of IPD admissions) has significant implications for healthcare system planning and resource allocation. The extended LOS indicates that gastroenteritis management requires specialized units with capabilities for prolonged nutritional support, electrolyte management, and complication monitoring. The tertiary care setting of Shridevi Institute suggests that many of these cases represent referrals from primary and secondary care levels, highlighting gaps in early intervention and management.</w:t>
      </w:r>
    </w:p>
    <w:p>
      <w:pPr>
        <w:pStyle w:val="Heading2Style"/>
      </w:pPr>
      <w:r>
        <w:t>Study Strengths and Limitations</w:t>
      </w:r>
    </w:p>
    <w:p>
      <w:pPr>
        <w:pStyle w:val="NormalStyle"/>
      </w:pPr>
      <w:r>
        <w:t>This study employed advanced search methodologies that captured complex diagnostic descriptions, providing a more comprehensive assessment than traditional approaches. The innovative diagnostic reclassification improved clinical interpretation, and the detailed LOS analysis provided insights into resource utilization patterns. However, limitations include the retrospective design, single institution scope, and lack of detailed clinical parameters such as laboratory values and vital signs.</w:t>
      </w:r>
    </w:p>
    <w:p>
      <w:pPr>
        <w:pStyle w:val="Heading2Style"/>
      </w:pPr>
      <w:r>
        <w:t>Future Research Directions</w:t>
      </w:r>
    </w:p>
    <w:p>
      <w:pPr>
        <w:pStyle w:val="NormalStyle"/>
      </w:pPr>
      <w:r>
        <w:t>Future studies should include prospective designs with detailed clinical parameters, multi-institutional collaborations for broader generalizability, and integration of socioeconomic factors. Cost-effectiveness analysis of gastroenteritis management strategies and evaluation of prevention interventions targeting high-risk adult groups would provide valuable insights for healthcare planning.</w:t>
      </w:r>
    </w:p>
    <w:p>
      <w:r>
        <w:br w:type="page"/>
      </w:r>
    </w:p>
    <w:p>
      <w:pPr>
        <w:pStyle w:val="Heading1Style"/>
      </w:pPr>
      <w:r>
        <w:t>CONCLUSIONS AND RECOMMENDATIONS</w:t>
      </w:r>
    </w:p>
    <w:p>
      <w:pPr>
        <w:pStyle w:val="Heading2Style"/>
      </w:pPr>
      <w:r>
        <w:t>Clinical Perspective</w:t>
      </w:r>
    </w:p>
    <w:p>
      <w:pPr>
        <w:pStyle w:val="NormalStyle"/>
      </w:pPr>
      <w:r>
        <w:t>1. Enhanced Diagnostic Protocols: Implementation of comprehensive search strategies for accurate case identification and severity assessment</w:t>
        <w:br/>
      </w:r>
      <w:r>
        <w:t>2. Severity Assessment Tools: Development of clinical scoring systems for appropriate hospitalization decisions</w:t>
        <w:br/>
      </w:r>
      <w:r>
        <w:t>3. Specialized Care Units: Establishment of gastroenteritis-specific care units for complex cases requiring prolonged management</w:t>
        <w:br/>
      </w:r>
      <w:r>
        <w:t>4. Multidisciplinary Management: Integration of nutritional support, electrolyte management, and complication prevention</w:t>
        <w:br/>
      </w:r>
      <w:r>
        <w:t>5. Age-Specific Protocols: Development of targeted management approaches for young adults and elderly patients requiring extended care</w:t>
      </w:r>
    </w:p>
    <w:p>
      <w:pPr>
        <w:pStyle w:val="Heading2Style"/>
      </w:pPr>
      <w:r>
        <w:t>Administrative Perspective</w:t>
      </w:r>
    </w:p>
    <w:p>
      <w:pPr>
        <w:pStyle w:val="NormalStyle"/>
      </w:pPr>
      <w:r>
        <w:t>1. Capacity Planning: Enhanced bed allocation for gastroenteritis cases during high-risk periods</w:t>
        <w:br/>
      </w:r>
      <w:r>
        <w:t>2. Resource Optimization: Development of clinical pathways to reduce unnecessary prolonged stays</w:t>
        <w:br/>
      </w:r>
      <w:r>
        <w:t>3. Staffing Requirements: Adequate nursing and medical staffing for gastroenteritis management</w:t>
        <w:br/>
      </w:r>
      <w:r>
        <w:t>4. Infrastructure Development: Isolation facilities and infection control measures for infectious gastroenteritis</w:t>
        <w:br/>
      </w:r>
      <w:r>
        <w:t>5. Quality Improvement: Regular audits of gastroenteritis management outcomes and LOS optimization</w:t>
      </w:r>
    </w:p>
    <w:p>
      <w:pPr>
        <w:pStyle w:val="Heading2Style"/>
      </w:pPr>
      <w:r>
        <w:t>Public Health Perspective</w:t>
      </w:r>
    </w:p>
    <w:p>
      <w:pPr>
        <w:pStyle w:val="NormalStyle"/>
      </w:pPr>
      <w:r>
        <w:t>1. Targeted Interventions: Focus on high-risk adult populations (18-34 years, elderly) for gastroenteritis prevention</w:t>
        <w:br/>
      </w:r>
      <w:r>
        <w:t>2. Health Education Campaigns: Community awareness on dehydration prevention and early healthcare-seeking</w:t>
        <w:br/>
      </w:r>
      <w:r>
        <w:t>3. Surveillance Systems: Enhanced monitoring of gastroenteritis hospitalization trends and seasonal patterns</w:t>
        <w:br/>
      </w:r>
      <w:r>
        <w:t>4. Environmental Health: Improved water quality, sanitation, and food safety measures</w:t>
        <w:br/>
      </w:r>
      <w:r>
        <w:t>5. Occupational Health: Workplace gastroenteritis prevention programs for high-risk occupational groups</w:t>
      </w:r>
    </w:p>
    <w:p>
      <w:pPr>
        <w:pStyle w:val="Heading2Style"/>
      </w:pPr>
      <w:r>
        <w:t>Key Recommendations</w:t>
      </w:r>
    </w:p>
    <w:p>
      <w:pPr>
        <w:pStyle w:val="NormalStyle"/>
      </w:pPr>
      <w:r>
        <w:t>1. Immediate Actions: Implement comprehensive diagnostic search protocols and establish multidisciplinary gastroenteritis care teams</w:t>
        <w:br/>
      </w:r>
      <w:r>
        <w:t>2. Short-term Goals (6-12 months): Reduce average LOS through optimized care protocols and improve early identification of severe cases</w:t>
        <w:br/>
      </w:r>
      <w:r>
        <w:t>3. Long-term Strategies (1-3 years): Comprehensive gastroenteritis prevention programs and integration of gastroenteritis management into public health planning</w:t>
        <w:br/>
      </w:r>
      <w:r>
        <w:t>4. Research Priorities: Multi-institutional studies and cost-effectiveness analysis of gastroenteritis management strategies</w:t>
        <w:br/>
      </w:r>
      <w:r>
        <w:t>5. Policy Implications: Recognition of hospitalized gastroenteritis as a significant healthcare priority requiring dedicated resources and specialized care approaches</w:t>
      </w:r>
    </w:p>
    <w:p>
      <w:pPr>
        <w:pStyle w:val="Heading2Style"/>
      </w:pPr>
      <w:r>
        <w:t>Conclusion Summary</w:t>
      </w:r>
    </w:p>
    <w:p>
      <w:pPr>
        <w:pStyle w:val="NormalStyle"/>
      </w:pPr>
      <w:r>
        <w:t>This comprehensive analysis provides crucial insights for improving gastroenteritis care delivery at Shridevi Institute and similar tertiary care settings in South India. The findings underscore the importance of recognizing hospitalized gastroenteritis as a distinct clinical entity requiring specialized management approaches, comprehensive resource allocation, and targeted prevention strategies. The extended hospitalization patterns and complex clinical presentations highlight the need for integrated clinical, administrative, and public health responses to address this significant healthcare challenge effectively.</w:t>
      </w:r>
    </w:p>
    <w:p>
      <w:r>
        <w:br w:type="page"/>
      </w:r>
    </w:p>
    <w:p>
      <w:pPr>
        <w:pStyle w:val="Heading1Style"/>
      </w:pPr>
      <w:r>
        <w:t>REFERENCES</w:t>
      </w:r>
    </w:p>
    <w:p>
      <w:pPr>
        <w:pStyle w:val="NormalStyle"/>
      </w:pPr>
      <w:r>
        <w:t>1. World Health Organization. Diarrhoeal disease. Geneva: WHO; 2022.</w:t>
      </w:r>
    </w:p>
    <w:p>
      <w:pPr>
        <w:pStyle w:val="NormalStyle"/>
      </w:pPr>
      <w:r>
        <w:t>2. Ministry of Health and Family Welfare. National Health Profile 2019. New Delhi: Government of India; 2019.</w:t>
      </w:r>
    </w:p>
    <w:p>
      <w:pPr>
        <w:pStyle w:val="NormalStyle"/>
      </w:pPr>
      <w:r>
        <w:t>3. Koul PA, Mir H, Akram S, et al. Respiratory infections in Kashmir Valley, India: A hospital-based study. Lung India. 2016;33(2):123-129.</w:t>
      </w:r>
    </w:p>
    <w:p>
      <w:pPr>
        <w:pStyle w:val="NormalStyle"/>
      </w:pPr>
      <w:r>
        <w:t>4. Chowdhury R, Mukherjee A, Mukherjee S, et al. Respiratory infections in India: A systematic review. Journal of Global Health. 2022;12:03001.</w:t>
      </w:r>
    </w:p>
    <w:p>
      <w:pPr>
        <w:pStyle w:val="NormalStyle"/>
      </w:pPr>
      <w:r>
        <w:t>5. Bhandari N, Rongsen-Chandola T, Bavdekar A, et al. Efficacy of a monovalent human-bovine (116E) rotavirus vaccine in Indian infants: a randomised, double-blind, placebo-controlled trial. The Lancet. 2014;384(9951):2136-2143.</w:t>
      </w:r>
    </w:p>
    <w:p>
      <w:pPr>
        <w:pStyle w:val="NormalStyle"/>
      </w:pPr>
      <w:r>
        <w:t>6. John J, Sarkar R, Muliyil J, et al. Rotavirus gastroenteritis in India: burden, epidemiology, and strategies for reduction. The National Medical Journal of India. 2014;27(2):98-99.</w:t>
      </w:r>
    </w:p>
    <w:p>
      <w:pPr>
        <w:pStyle w:val="NormalStyle"/>
      </w:pPr>
      <w:r>
        <w:t>7. Liu L, Oza S, Hogan D, et al. Global, regional, and national causes of child mortality in 2000-13, with projections to inform post-2015 priorities: an updated systematic analysis. The Lancet. 2015;385(9966):430-440.</w:t>
      </w:r>
    </w:p>
    <w:p>
      <w:pPr>
        <w:pStyle w:val="NormalStyle"/>
      </w:pPr>
      <w:r>
        <w:t>8. Nair H, Simões EA, Rudan I, et al. Global and regional burden of hospital admissions for severe acute lower respiratory infections in young children in 2010: a systematic analysis. The Lancet. 2013;381(9875):1380-1390.</w:t>
      </w:r>
    </w:p>
    <w:p>
      <w:pPr>
        <w:pStyle w:val="NormalStyle"/>
      </w:pPr>
      <w:r>
        <w:t>9. Troeger C, Khalil IA, Rao PC, et al. Rotavirus vaccination and the global burden of rotavirus diarrhea among children younger than 5 years. JAMA Pediatrics. 2018;172(10):958-965.</w:t>
      </w:r>
    </w:p>
    <w:p>
      <w:pPr>
        <w:pStyle w:val="NormalStyle"/>
      </w:pPr>
      <w:r>
        <w:t>10. Jha P, Jacob B, Gajalakshmi V, et al. A nationally representative case-control study of smoking and death in India. New England Journal of Medicine. 2008;358(11):1137-1147.</w:t>
      </w:r>
    </w:p>
    <w:p>
      <w:pPr>
        <w:pStyle w:val="NormalStyle"/>
      </w:pPr>
      <w:r>
        <w:t>11. Farthing M, Salam MA, Lindberg G, et al. Acute diarrhea in adults and children: a global perspective. J Clin Gastroenterol. 2013;47(1):12-20.</w:t>
      </w:r>
    </w:p>
    <w:p>
      <w:pPr>
        <w:pStyle w:val="NormalStyle"/>
      </w:pPr>
      <w:r>
        <w:t>12. Guerrant RL, Van Gilder T, Steiner TS, et al. Practice guidelines for the management of infectious diarrhea. Clin Infect Dis. 2001;32(3):331-351.</w:t>
      </w:r>
    </w:p>
    <w:p>
      <w:pPr>
        <w:pStyle w:val="NormalStyle"/>
      </w:pPr>
      <w:r>
        <w:t>13. Bhutta ZA, Das JK, Walker N, et al. Interventions to address deaths from childhood pneumonia and diarrhoea equitably: what works and at what cost? The Lancet. 2013;381(9875):1417-1429.</w:t>
      </w:r>
    </w:p>
    <w:p>
      <w:pPr>
        <w:pStyle w:val="NormalStyle"/>
      </w:pPr>
      <w:r>
        <w:t>14. Tate JE, Burton AH, Boschi-Pinto C, et al. 2008 estimate of worldwide rotavirus-associated mortality in children younger than 5 years before the introduction of universal rotavirus vaccination programmes: a systematic review and meta-analysis. The Lancet Infectious Diseases. 2012;12(2):136-141.</w:t>
      </w:r>
    </w:p>
    <w:p>
      <w:pPr>
        <w:pStyle w:val="NormalStyle"/>
      </w:pPr>
      <w:r>
        <w:t>15. Parashar UD, Hummelman EG, Bresee JS, et al. Global illness and deaths caused by rotavirus disease in children. Emerg Infect Dis. 2003;9(5):565-572.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Heading1Style">
    <w:name w:val="Heading1Style"/>
    <w:pPr>
      <w:spacing w:before="360" w:after="240"/>
    </w:pPr>
    <w:rPr>
      <w:rFonts w:ascii="Times New Roman" w:hAnsi="Times New Roman"/>
      <w:b/>
      <w:sz w:val="28"/>
    </w:rPr>
  </w:style>
  <w:style w:type="paragraph" w:customStyle="1" w:styleId="Heading2Style">
    <w:name w:val="Heading2Style"/>
    <w:pPr>
      <w:spacing w:before="240" w:after="160"/>
    </w:pPr>
    <w:rPr>
      <w:rFonts w:ascii="Times New Roman" w:hAnsi="Times New Roman"/>
      <w:b/>
      <w:sz w:val="24"/>
    </w:rPr>
  </w:style>
  <w:style w:type="paragraph" w:customStyle="1" w:styleId="NormalStyle">
    <w:name w:val="NormalStyle"/>
    <w:pPr>
      <w:spacing w:line="240" w:lineRule="auto" w:after="1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of Acute Gastroenteritis and Diarrheal Diseases</dc:title>
  <dc:subject>Medical Research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