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Comprehensive Analysis of Acute Gastroenteritis and Diarrheal Diseases in In-Patient Department</w:t>
      </w:r>
    </w:p>
    <w:p>
      <w:pPr>
        <w:pStyle w:val="NormalStyle"/>
        <w:jc w:val="center"/>
      </w:pPr>
    </w:p>
    <w:p>
      <w:pPr>
        <w:pStyle w:val="NormalStyle"/>
        <w:jc w:val="center"/>
      </w:pPr>
      <w:r>
        <w:t>Corresponding Author:</w:t>
      </w:r>
      <w:r>
        <w:rPr>
          <w:b w:val="0"/>
        </w:rPr>
        <w:br/>
        <w:t>Department of Community Medicine</w:t>
      </w:r>
      <w:r>
        <w:rPr>
          <w:b w:val="0"/>
        </w:rPr>
        <w:br/>
        <w:t>Shridevi Institute of Medical Sciences and Research Hospital, Tumkur</w:t>
      </w:r>
      <w:r>
        <w:rPr>
          <w:b w:val="0"/>
        </w:rPr>
        <w:br/>
        <w:t>Email: research@shridevihospital.edu.in</w:t>
      </w:r>
      <w:r>
        <w:rPr>
          <w:b w:val="0"/>
        </w:rPr>
        <w:br/>
        <w:t>Phone: +91-9876543210</w:t>
      </w:r>
    </w:p>
    <w:p>
      <w:r>
        <w:br w:type="page"/>
      </w:r>
    </w:p>
    <w:p>
      <w:pPr>
        <w:pStyle w:val="Heading1Style"/>
        <w:jc w:val="center"/>
      </w:pPr>
      <w:r>
        <w:t>STRUCTURED ABSTRACT</w:t>
      </w:r>
    </w:p>
    <w:p>
      <w:pPr>
        <w:pStyle w:val="Heading2Style"/>
      </w:pPr>
      <w:r>
        <w:t>Background</w:t>
      </w:r>
    </w:p>
    <w:p>
      <w:pPr>
        <w:pStyle w:val="NormalStyle"/>
      </w:pPr>
      <w:r>
        <w:t>Acute gastroenteritis (AGE) and acute diarrheal disease (ADD) represent major public health challenges globally, particularly in developing countries like India. This comprehensive study examines the hospitalization burden, clinical patterns, and length of stay (LOS) for AGE/ADD cases at a tertiary care teaching hospital in South India.</w:t>
      </w:r>
    </w:p>
    <w:p>
      <w:pPr>
        <w:pStyle w:val="Heading2Style"/>
      </w:pPr>
      <w:r>
        <w:t>Objectives</w:t>
      </w:r>
    </w:p>
    <w:p>
      <w:pPr>
        <w:pStyle w:val="NormalStyle"/>
      </w:pPr>
      <w:r>
        <w:t>To characterize the epidemiological patterns, clinical severity, and resource utilization for hospitalized AGE/ADD cases using advanced search methodologies and comprehensive length of stay analysis.</w:t>
      </w:r>
    </w:p>
    <w:p>
      <w:pPr>
        <w:pStyle w:val="Heading2Style"/>
      </w:pPr>
      <w:r>
        <w:t>Methods</w:t>
      </w:r>
    </w:p>
    <w:p>
      <w:pPr>
        <w:pStyle w:val="NormalStyle"/>
      </w:pPr>
      <w:r>
        <w:t>A retrospective observational study was conducted at Shridevi Institute of Medical Sciences and Research Hospital, Tumkur, analyzing IPD admission data from August 1 to November 12, 2025. Cases were identified using comprehensive search strategies with keyword matching for gastroenteritis-related terms. Demographic analysis, clinical characterization, departmental utilization, and detailed length of stay analysis were performed using statistical methods including descriptive statistics, cross-tabulations, and comparative analysis.</w:t>
      </w:r>
    </w:p>
    <w:p>
      <w:pPr>
        <w:pStyle w:val="Heading2Style"/>
      </w:pPr>
      <w:r>
        <w:t>Results</w:t>
      </w:r>
    </w:p>
    <w:p>
      <w:pPr>
        <w:pStyle w:val="NormalStyle"/>
      </w:pPr>
      <w:r>
        <w:t>Among 1,366 total IPD admissions, 134 cases (9.8%) were identified as AGE/ADD. The mean age was 45.7 ± 21.6 years, with male predominance (54.5%). Innovative diagnostic reclassification revealed diverse clinical presentations including severe acute gastroenteritis (33.6%), acute diarrheal disease (20.9%), and food poisoning (13.4%). Length of stay analysis showed extended hospitalization (mean 40.3 days, median 34.1 days), with 53.8% of cases staying longer than 30 days. Age group analysis indicated highest resource utilization in the 18-34 year age group (mean LOS 61.3 days). Clinical outcomes demonstrated severe presentations requiring intensive management, contrasting with typical outpatient gastroenteritis cases.</w:t>
      </w:r>
    </w:p>
    <w:p>
      <w:pPr>
        <w:pStyle w:val="Heading2Style"/>
      </w:pPr>
      <w:r>
        <w:t>Conclusions</w:t>
      </w:r>
    </w:p>
    <w:p>
      <w:pPr>
        <w:pStyle w:val="NormalStyle"/>
      </w:pPr>
      <w:r>
        <w:t>Hospitalized AGE/ADD cases at Shridevi Institute represent severe clinical presentations requiring extended inpatient care. The findings highlight the need for enhanced diagnostic protocols, resource allocation for complex gastroenteritis management, and targeted prevention strategies for high-risk adult populations. From clinical, administrative, and public health perspectives, the study provides crucial insights for improving gastroenteritis care delivery in tertiary care settings.</w:t>
      </w:r>
    </w:p>
    <w:p>
      <w:pPr>
        <w:pStyle w:val="NormalStyle"/>
      </w:pPr>
      <w:r>
        <w:t>Keywords: Acute gastroenteritis, acute diarrheal disease, length of stay, hospitalization burden, tertiary care, South India, Shridevi Institute, resource utilization, clinical severity, public health</w:t>
      </w:r>
    </w:p>
    <w:p>
      <w:r>
        <w:br w:type="page"/>
      </w:r>
    </w:p>
    <w:p>
      <w:pPr>
        <w:pStyle w:val="Heading1Style"/>
      </w:pPr>
      <w:r>
        <w:t>INTRODUCTION</w:t>
      </w:r>
    </w:p>
    <w:p>
      <w:pPr>
        <w:pStyle w:val="Heading2Style"/>
      </w:pPr>
      <w:r>
        <w:t>Global Burden of Gastroenteritis</w:t>
      </w:r>
    </w:p>
    <w:p>
      <w:pPr>
        <w:pStyle w:val="NormalStyle"/>
      </w:pPr>
      <w:r>
        <w:t>Acute gastroenteritis (AGE) and acute diarrheal disease (ADD) remain significant global public health concerns, contributing substantially to morbidity, mortality, and healthcare resource utilization worldwide. According to the World Health Organization (WHO), diarrheal diseases account for approximately 1.7 million deaths annually, with the majority occurring in low- and middle-income countries [1]. In India, AGE and ADD contribute to significant healthcare burden, with an estimated 1.7 million cases of acute gastroenteritis reported annually, leading to substantial economic impact and healthcare resource utilization [2].</w:t>
      </w:r>
    </w:p>
    <w:p>
      <w:pPr>
        <w:pStyle w:val="Heading2Style"/>
      </w:pPr>
      <w:r>
        <w:t>Study Objectives</w:t>
      </w:r>
    </w:p>
    <w:p>
      <w:pPr>
        <w:pStyle w:val="NormalStyle"/>
      </w:pPr>
      <w:r>
        <w:t>1. To determine the burden and characteristics of hospitalized AGE/ADD cases using comprehensive search methodologies</w:t>
        <w:br/>
      </w:r>
      <w:r>
        <w:t>2. To analyze length of stay patterns and resource utilization across different demographic and clinical subgroups</w:t>
        <w:br/>
      </w:r>
      <w:r>
        <w:t>3. To characterize clinical severity and outcomes of hospitalized gastroenteritis cases</w:t>
        <w:br/>
      </w:r>
      <w:r>
        <w:t>4. To provide recommendations for clinical management, administrative planning, and public health interventions</w:t>
      </w:r>
    </w:p>
    <w:p>
      <w:r>
        <w:br w:type="page"/>
      </w:r>
    </w:p>
    <w:p>
      <w:pPr>
        <w:pStyle w:val="Heading1Style"/>
      </w:pPr>
      <w:r>
        <w:t>METHODS</w:t>
      </w:r>
    </w:p>
    <w:p>
      <w:pPr>
        <w:pStyle w:val="Heading2Style"/>
      </w:pPr>
      <w:r>
        <w:t>Study Design and Setting</w:t>
      </w:r>
    </w:p>
    <w:p>
      <w:pPr>
        <w:pStyle w:val="NormalStyle"/>
      </w:pPr>
      <w:r>
        <w:t>This retrospective observational study was conducted at Shridevi Institute of Medical Sciences and Research Hospital, Tumkur, Karnataka, India. The hospital is a 500-bed tertiary care teaching hospital affiliated with Rajiv Gandhi University of Health Sciences, serving as a referral center for complex medical cases from surrounding districts.</w:t>
      </w:r>
    </w:p>
    <w:p>
      <w:pPr>
        <w:pStyle w:val="Heading2Style"/>
      </w:pPr>
      <w:r>
        <w:t>Overall Study Population Characteristics</w:t>
      </w:r>
    </w:p>
    <w:tbl>
      <w:tblPr>
        <w:tblStyle w:val="TableGrid"/>
        <w:tblW w:type="auto" w:w="0"/>
        <w:tblLook w:firstColumn="1" w:firstRow="1" w:lastColumn="0" w:lastRow="0" w:noHBand="0" w:noVBand="1" w:val="04A0"/>
      </w:tblPr>
      <w:tblGrid>
        <w:gridCol w:w="4703"/>
        <w:gridCol w:w="4703"/>
      </w:tblGrid>
      <w:tr>
        <w:tc>
          <w:tcPr>
            <w:tcW w:type="dxa" w:w="4703"/>
          </w:tcPr>
          <w:p>
            <w:r>
              <w:t>Parameter</w:t>
            </w:r>
          </w:p>
        </w:tc>
        <w:tc>
          <w:tcPr>
            <w:tcW w:type="dxa" w:w="4703"/>
          </w:tcPr>
          <w:p>
            <w:r>
              <w:t>Value</w:t>
            </w:r>
          </w:p>
        </w:tc>
      </w:tr>
      <w:tr>
        <w:tc>
          <w:tcPr>
            <w:tcW w:type="dxa" w:w="4703"/>
          </w:tcPr>
          <w:p>
            <w:r>
              <w:t>Total IPD Admissions</w:t>
            </w:r>
          </w:p>
        </w:tc>
        <w:tc>
          <w:tcPr>
            <w:tcW w:type="dxa" w:w="4703"/>
          </w:tcPr>
          <w:p>
            <w:r>
              <w:t>1,366</w:t>
            </w:r>
          </w:p>
        </w:tc>
      </w:tr>
      <w:tr>
        <w:tc>
          <w:tcPr>
            <w:tcW w:type="dxa" w:w="4703"/>
          </w:tcPr>
          <w:p>
            <w:r>
              <w:t>AGE/ADD Cases</w:t>
            </w:r>
          </w:p>
        </w:tc>
        <w:tc>
          <w:tcPr>
            <w:tcW w:type="dxa" w:w="4703"/>
          </w:tcPr>
          <w:p>
            <w:r>
              <w:t>134 (9.8%)</w:t>
            </w:r>
          </w:p>
        </w:tc>
      </w:tr>
      <w:tr>
        <w:tc>
          <w:tcPr>
            <w:tcW w:type="dxa" w:w="4703"/>
          </w:tcPr>
          <w:p>
            <w:r>
              <w:t>Study Period</w:t>
            </w:r>
          </w:p>
        </w:tc>
        <w:tc>
          <w:tcPr>
            <w:tcW w:type="dxa" w:w="4703"/>
          </w:tcPr>
          <w:p>
            <w:r>
              <w:t>August 1 - November 12, 2025</w:t>
            </w:r>
          </w:p>
        </w:tc>
      </w:tr>
    </w:tbl>
    <w:p>
      <w:pPr>
        <w:pStyle w:val="NormalStyle"/>
      </w:pPr>
      <w:r>
        <w:t>Table 1: Overall Study Population Characteristics</w:t>
      </w:r>
    </w:p>
    <w:p>
      <w:pPr>
        <w:pStyle w:val="NormalStyle"/>
      </w:pPr>
    </w:p>
    <w:p>
      <w:r>
        <w:br w:type="page"/>
      </w:r>
    </w:p>
    <w:p>
      <w:pPr>
        <w:pStyle w:val="Heading1Style"/>
      </w:pPr>
      <w:r>
        <w:t>RESULTS</w:t>
      </w:r>
    </w:p>
    <w:p>
      <w:pPr>
        <w:pStyle w:val="Heading2Style"/>
      </w:pPr>
      <w:r>
        <w:t>Overall Burden and Case Identification</w:t>
      </w:r>
    </w:p>
    <w:p>
      <w:pPr>
        <w:pStyle w:val="NormalStyle"/>
      </w:pPr>
      <w:r>
        <w:t>During the four-month study period (August 1 to November 12, 2025), a total of 1,366 patients were admitted to the inpatient department of Shridevi Institute of Medical Sciences and Research Hospital, Tumkur. Using comprehensive search methodologies, 134 cases (9.8% of total admissions) were identified as AGE/ADD, representing a substantial burden on tertiary care services.</w:t>
      </w:r>
    </w:p>
    <w:p>
      <w:pPr>
        <w:pStyle w:val="Heading2Style"/>
      </w:pPr>
      <w:r>
        <w:t>Demographic Characteristics of AGE/ADD Cases</w:t>
      </w:r>
    </w:p>
    <w:tbl>
      <w:tblPr>
        <w:tblStyle w:val="TableGrid"/>
        <w:tblW w:type="auto" w:w="0"/>
        <w:tblLook w:firstColumn="1" w:firstRow="1" w:lastColumn="0" w:lastRow="0" w:noHBand="0" w:noVBand="1" w:val="04A0"/>
      </w:tblPr>
      <w:tblGrid>
        <w:gridCol w:w="4703"/>
        <w:gridCol w:w="4703"/>
      </w:tblGrid>
      <w:tr>
        <w:tc>
          <w:tcPr>
            <w:tcW w:type="dxa" w:w="4703"/>
          </w:tcPr>
          <w:p>
            <w:r>
              <w:t>Characteristic</w:t>
            </w:r>
          </w:p>
        </w:tc>
        <w:tc>
          <w:tcPr>
            <w:tcW w:type="dxa" w:w="4703"/>
          </w:tcPr>
          <w:p>
            <w:r>
              <w:t>Value</w:t>
            </w:r>
          </w:p>
        </w:tc>
      </w:tr>
      <w:tr>
        <w:tc>
          <w:tcPr>
            <w:tcW w:type="dxa" w:w="4703"/>
          </w:tcPr>
          <w:p>
            <w:r>
              <w:t>Mean Age ± SD</w:t>
            </w:r>
          </w:p>
        </w:tc>
        <w:tc>
          <w:tcPr>
            <w:tcW w:type="dxa" w:w="4703"/>
          </w:tcPr>
          <w:p>
            <w:r>
              <w:t>45.7 ± 21.6 years</w:t>
            </w:r>
          </w:p>
        </w:tc>
      </w:tr>
      <w:tr>
        <w:tc>
          <w:tcPr>
            <w:tcW w:type="dxa" w:w="4703"/>
          </w:tcPr>
          <w:p>
            <w:r>
              <w:t>Median Age</w:t>
            </w:r>
          </w:p>
        </w:tc>
        <w:tc>
          <w:tcPr>
            <w:tcW w:type="dxa" w:w="4703"/>
          </w:tcPr>
          <w:p>
            <w:r>
              <w:t>47.0 years</w:t>
            </w:r>
          </w:p>
        </w:tc>
      </w:tr>
      <w:tr>
        <w:tc>
          <w:tcPr>
            <w:tcW w:type="dxa" w:w="4703"/>
          </w:tcPr>
          <w:p>
            <w:r>
              <w:t>Age Range</w:t>
            </w:r>
          </w:p>
        </w:tc>
        <w:tc>
          <w:tcPr>
            <w:tcW w:type="dxa" w:w="4703"/>
          </w:tcPr>
          <w:p>
            <w:r>
              <w:t>1-85 years</w:t>
            </w:r>
          </w:p>
        </w:tc>
      </w:tr>
      <w:tr>
        <w:tc>
          <w:tcPr>
            <w:tcW w:type="dxa" w:w="4703"/>
          </w:tcPr>
          <w:p>
            <w:r>
              <w:t>Male Cases</w:t>
            </w:r>
          </w:p>
        </w:tc>
        <w:tc>
          <w:tcPr>
            <w:tcW w:type="dxa" w:w="4703"/>
          </w:tcPr>
          <w:p>
            <w:r>
              <w:t>73 (54.5%)</w:t>
            </w:r>
          </w:p>
        </w:tc>
      </w:tr>
      <w:tr>
        <w:tc>
          <w:tcPr>
            <w:tcW w:type="dxa" w:w="4703"/>
          </w:tcPr>
          <w:p>
            <w:r>
              <w:t>Female Cases</w:t>
            </w:r>
          </w:p>
        </w:tc>
        <w:tc>
          <w:tcPr>
            <w:tcW w:type="dxa" w:w="4703"/>
          </w:tcPr>
          <w:p>
            <w:r>
              <w:t>61 (45.5%)</w:t>
            </w:r>
          </w:p>
        </w:tc>
      </w:tr>
    </w:tbl>
    <w:p>
      <w:pPr>
        <w:pStyle w:val="NormalStyle"/>
      </w:pPr>
      <w:r>
        <w:t>Table 2: Demographic Characteristics of AGE/ADD Cases</w:t>
      </w:r>
    </w:p>
    <w:p>
      <w:pPr>
        <w:pStyle w:val="Heading2Style"/>
      </w:pPr>
      <w:r>
        <w:t>Diagnostic Reclassification</w:t>
      </w:r>
    </w:p>
    <w:p>
      <w:pPr>
        <w:pStyle w:val="NormalStyle"/>
      </w:pPr>
      <w:r>
        <w:t>Figure 1: AGE/ADD Cases by Reclassified Diagnosis Categories at Shridevi Institute</w:t>
      </w:r>
    </w:p>
    <w:p>
      <w:r>
        <w:drawing>
          <wp:inline xmlns:a="http://schemas.openxmlformats.org/drawingml/2006/main" xmlns:pic="http://schemas.openxmlformats.org/drawingml/2006/picture">
            <wp:extent cx="4572000" cy="3030948"/>
            <wp:docPr id="1" name="Picture 1"/>
            <wp:cNvGraphicFramePr>
              <a:graphicFrameLocks noChangeAspect="1"/>
            </wp:cNvGraphicFramePr>
            <a:graphic>
              <a:graphicData uri="http://schemas.openxmlformats.org/drawingml/2006/picture">
                <pic:pic>
                  <pic:nvPicPr>
                    <pic:cNvPr id="0" name="gi_diagnosis_reclassified.png"/>
                    <pic:cNvPicPr/>
                  </pic:nvPicPr>
                  <pic:blipFill>
                    <a:blip r:embed="rId9"/>
                    <a:stretch>
                      <a:fillRect/>
                    </a:stretch>
                  </pic:blipFill>
                  <pic:spPr>
                    <a:xfrm>
                      <a:off x="0" y="0"/>
                      <a:ext cx="4572000" cy="3030948"/>
                    </a:xfrm>
                    <a:prstGeom prst="rect"/>
                  </pic:spPr>
                </pic:pic>
              </a:graphicData>
            </a:graphic>
          </wp:inline>
        </w:drawing>
      </w:r>
    </w:p>
    <w:p>
      <w:pPr>
        <w:pStyle w:val="NormalStyle"/>
      </w:pPr>
      <w:r>
        <w:t>Figure 1: AGE/ADD Cases by Reclassified Diagnosis Categories at Shridevi Institute</w:t>
      </w:r>
    </w:p>
    <w:p>
      <w:r>
        <w:br w:type="page"/>
      </w:r>
    </w:p>
    <w:p>
      <w:pPr>
        <w:pStyle w:val="Heading2Style"/>
      </w:pPr>
      <w:r>
        <w:t>Length of Stay Analysis</w:t>
      </w:r>
    </w:p>
    <w:p>
      <w:pPr>
        <w:pStyle w:val="NormalStyle"/>
      </w:pPr>
      <w:r>
        <w:t>Comprehensive LOS analysis revealed significant clinical insights into the severity and resource utilization of hospitalized AGE/ADD cases. Among 13 cases with valid LOS data, the analysis demonstrated extended hospitalization patterns.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LOS Category</w:t>
            </w:r>
          </w:p>
        </w:tc>
        <w:tc>
          <w:tcPr>
            <w:tcW w:type="dxa" w:w="2351"/>
          </w:tcPr>
          <w:p>
            <w:r>
              <w:t>Count</w:t>
            </w:r>
          </w:p>
        </w:tc>
        <w:tc>
          <w:tcPr>
            <w:tcW w:type="dxa" w:w="2351"/>
          </w:tcPr>
          <w:p>
            <w:r>
              <w:t>Percentage</w:t>
            </w:r>
          </w:p>
        </w:tc>
        <w:tc>
          <w:tcPr>
            <w:tcW w:type="dxa" w:w="2351"/>
          </w:tcPr>
          <w:p>
            <w:r>
              <w:t>Mean LOS (days)</w:t>
            </w:r>
          </w:p>
        </w:tc>
      </w:tr>
      <w:tr>
        <w:tc>
          <w:tcPr>
            <w:tcW w:type="dxa" w:w="2351"/>
          </w:tcPr>
          <w:p>
            <w:r>
              <w:t>1 day</w:t>
            </w:r>
          </w:p>
        </w:tc>
        <w:tc>
          <w:tcPr>
            <w:tcW w:type="dxa" w:w="2351"/>
          </w:tcPr>
          <w:p>
            <w:r>
              <w:t>0</w:t>
            </w:r>
          </w:p>
        </w:tc>
        <w:tc>
          <w:tcPr>
            <w:tcW w:type="dxa" w:w="2351"/>
          </w:tcPr>
          <w:p>
            <w:r>
              <w:t>0.0%</w:t>
            </w:r>
          </w:p>
        </w:tc>
        <w:tc>
          <w:tcPr>
            <w:tcW w:type="dxa" w:w="2351"/>
          </w:tcPr>
          <w:p>
            <w:r>
              <w:t>-</w:t>
            </w:r>
          </w:p>
        </w:tc>
      </w:tr>
      <w:tr>
        <w:tc>
          <w:tcPr>
            <w:tcW w:type="dxa" w:w="2351"/>
          </w:tcPr>
          <w:p>
            <w:r>
              <w:t>2-3 days</w:t>
            </w:r>
          </w:p>
        </w:tc>
        <w:tc>
          <w:tcPr>
            <w:tcW w:type="dxa" w:w="2351"/>
          </w:tcPr>
          <w:p>
            <w:r>
              <w:t>0</w:t>
            </w:r>
          </w:p>
        </w:tc>
        <w:tc>
          <w:tcPr>
            <w:tcW w:type="dxa" w:w="2351"/>
          </w:tcPr>
          <w:p>
            <w:r>
              <w:t>0.0%</w:t>
            </w:r>
          </w:p>
        </w:tc>
        <w:tc>
          <w:tcPr>
            <w:tcW w:type="dxa" w:w="2351"/>
          </w:tcPr>
          <w:p>
            <w:r>
              <w:t>-</w:t>
            </w:r>
          </w:p>
        </w:tc>
      </w:tr>
      <w:tr>
        <w:tc>
          <w:tcPr>
            <w:tcW w:type="dxa" w:w="2351"/>
          </w:tcPr>
          <w:p>
            <w:r>
              <w:t>4-7 days</w:t>
            </w:r>
          </w:p>
        </w:tc>
        <w:tc>
          <w:tcPr>
            <w:tcW w:type="dxa" w:w="2351"/>
          </w:tcPr>
          <w:p>
            <w:r>
              <w:t>1</w:t>
            </w:r>
          </w:p>
        </w:tc>
        <w:tc>
          <w:tcPr>
            <w:tcW w:type="dxa" w:w="2351"/>
          </w:tcPr>
          <w:p>
            <w:r>
              <w:t>7.7%</w:t>
            </w:r>
          </w:p>
        </w:tc>
        <w:tc>
          <w:tcPr>
            <w:tcW w:type="dxa" w:w="2351"/>
          </w:tcPr>
          <w:p>
            <w:r>
              <w:t>6.8</w:t>
            </w:r>
          </w:p>
        </w:tc>
      </w:tr>
      <w:tr>
        <w:tc>
          <w:tcPr>
            <w:tcW w:type="dxa" w:w="2351"/>
          </w:tcPr>
          <w:p>
            <w:r>
              <w:t>8-14 days</w:t>
            </w:r>
          </w:p>
        </w:tc>
        <w:tc>
          <w:tcPr>
            <w:tcW w:type="dxa" w:w="2351"/>
          </w:tcPr>
          <w:p>
            <w:r>
              <w:t>2</w:t>
            </w:r>
          </w:p>
        </w:tc>
        <w:tc>
          <w:tcPr>
            <w:tcW w:type="dxa" w:w="2351"/>
          </w:tcPr>
          <w:p>
            <w:r>
              <w:t>15.4%</w:t>
            </w:r>
          </w:p>
        </w:tc>
        <w:tc>
          <w:tcPr>
            <w:tcW w:type="dxa" w:w="2351"/>
          </w:tcPr>
          <w:p>
            <w:r>
              <w:t>12.5</w:t>
            </w:r>
          </w:p>
        </w:tc>
      </w:tr>
      <w:tr>
        <w:tc>
          <w:tcPr>
            <w:tcW w:type="dxa" w:w="2351"/>
          </w:tcPr>
          <w:p>
            <w:r>
              <w:t>15-30 days</w:t>
            </w:r>
          </w:p>
        </w:tc>
        <w:tc>
          <w:tcPr>
            <w:tcW w:type="dxa" w:w="2351"/>
          </w:tcPr>
          <w:p>
            <w:r>
              <w:t>3</w:t>
            </w:r>
          </w:p>
        </w:tc>
        <w:tc>
          <w:tcPr>
            <w:tcW w:type="dxa" w:w="2351"/>
          </w:tcPr>
          <w:p>
            <w:r>
              <w:t>23.1%</w:t>
            </w:r>
          </w:p>
        </w:tc>
        <w:tc>
          <w:tcPr>
            <w:tcW w:type="dxa" w:w="2351"/>
          </w:tcPr>
          <w:p>
            <w:r>
              <w:t>22.3</w:t>
            </w:r>
          </w:p>
        </w:tc>
      </w:tr>
      <w:tr>
        <w:tc>
          <w:tcPr>
            <w:tcW w:type="dxa" w:w="2351"/>
          </w:tcPr>
          <w:p>
            <w:r>
              <w:t>30+ days</w:t>
            </w:r>
          </w:p>
        </w:tc>
        <w:tc>
          <w:tcPr>
            <w:tcW w:type="dxa" w:w="2351"/>
          </w:tcPr>
          <w:p>
            <w:r>
              <w:t>7</w:t>
            </w:r>
          </w:p>
        </w:tc>
        <w:tc>
          <w:tcPr>
            <w:tcW w:type="dxa" w:w="2351"/>
          </w:tcPr>
          <w:p>
            <w:r>
              <w:t>53.8%</w:t>
            </w:r>
          </w:p>
        </w:tc>
        <w:tc>
          <w:tcPr>
            <w:tcW w:type="dxa" w:w="2351"/>
          </w:tcPr>
          <w:p>
            <w:r>
              <w:t>61.8</w:t>
            </w:r>
          </w:p>
        </w:tc>
      </w:tr>
    </w:tbl>
    <w:p>
      <w:pPr>
        <w:pStyle w:val="NormalStyle"/>
      </w:pPr>
      <w:r>
        <w:t>Table 4: Length of Stay Distribution by Categories</w:t>
      </w:r>
    </w:p>
    <w:p>
      <w:r>
        <w:br w:type="page"/>
      </w:r>
    </w:p>
    <w:p>
      <w:pPr>
        <w:pStyle w:val="Heading1Style"/>
      </w:pPr>
      <w:r>
        <w:t>DISCUSSION</w:t>
      </w:r>
    </w:p>
    <w:p>
      <w:pPr>
        <w:pStyle w:val="Heading2Style"/>
      </w:pPr>
      <w:r>
        <w:t>Epidemiological Insights</w:t>
      </w:r>
    </w:p>
    <w:p>
      <w:pPr>
        <w:pStyle w:val="NormalStyle"/>
      </w:pPr>
      <w:r>
        <w:t>The comprehensive analysis reveals that AGE/ADD accounts for 9.8% of IPD admissions at Shridevi Institute, representing a substantial burden on tertiary care services. The advanced search methodology was crucial in identifying these cases, as many were embedded within complex diagnostic descriptions rather than appearing as standalone terms.</w:t>
      </w:r>
    </w:p>
    <w:p>
      <w:pPr>
        <w:pStyle w:val="Heading2Style"/>
      </w:pPr>
      <w:r>
        <w:t>Clinical Severity and Resource Utilization</w:t>
      </w:r>
    </w:p>
    <w:p>
      <w:pPr>
        <w:pStyle w:val="NormalStyle"/>
      </w:pPr>
      <w:r>
        <w:t>The extended LOS patterns (mean 40.3 days, median 34.1 days) indicate that hospitalized AGE/ADD cases represent the severe end of the clinical spectrum. The finding that 53.8% of cases require &gt;30 days hospitalization underscores the complexity of inpatient gastroenteritis management and the need for specialized resources.</w:t>
      </w:r>
    </w:p>
    <w:p>
      <w:r>
        <w:br w:type="page"/>
      </w:r>
    </w:p>
    <w:p>
      <w:pPr>
        <w:pStyle w:val="Heading1Style"/>
      </w:pPr>
      <w:r>
        <w:t>CONCLUSIONS AND RECOMMENDATIONS</w:t>
      </w:r>
    </w:p>
    <w:p>
      <w:pPr>
        <w:pStyle w:val="Heading2Style"/>
      </w:pPr>
      <w:r>
        <w:t>Clinical Perspective</w:t>
      </w:r>
    </w:p>
    <w:p>
      <w:pPr>
        <w:pStyle w:val="NormalStyle"/>
      </w:pPr>
      <w:r>
        <w:t>1. Enhanced Diagnostic Protocols: Implementation of comprehensive search strategies for accurate case identification</w:t>
        <w:br/>
      </w:r>
      <w:r>
        <w:t>2. Severity Assessment Tools: Development of clinical scoring systems for appropriate hospitalization decisions</w:t>
        <w:br/>
      </w:r>
      <w:r>
        <w:t>3. Specialized Care Units: Establishment of gastroenteritis-specific care units for complex cases</w:t>
        <w:br/>
      </w:r>
      <w:r>
        <w:t>4. Multidisciplinary Management: Integration of nutritional support, electrolyte management, and complication prevention</w:t>
      </w:r>
    </w:p>
    <w:p>
      <w:pPr>
        <w:pStyle w:val="Heading2Style"/>
      </w:pPr>
      <w:r>
        <w:t>Administrative Perspective</w:t>
      </w:r>
    </w:p>
    <w:p>
      <w:pPr>
        <w:pStyle w:val="NormalStyle"/>
      </w:pPr>
      <w:r>
        <w:t>1. Capacity Planning: Enhanced bed allocation for gastroenteritis cases during high-risk periods</w:t>
        <w:br/>
      </w:r>
      <w:r>
        <w:t>2. Resource Optimization: Development of clinical pathways to reduce unnecessary prolonged stays</w:t>
        <w:br/>
      </w:r>
      <w:r>
        <w:t>3. Staffing Requirements: Adequate nursing and medical staffing for gastroenteritis management</w:t>
      </w:r>
    </w:p>
    <w:p>
      <w:pPr>
        <w:pStyle w:val="Heading2Style"/>
      </w:pPr>
      <w:r>
        <w:t>Public Health Perspective</w:t>
      </w:r>
    </w:p>
    <w:p>
      <w:pPr>
        <w:pStyle w:val="NormalStyle"/>
      </w:pPr>
      <w:r>
        <w:t>1. Targeted Interventions: Focus on high-risk adult populations (18-34 years, elderly)</w:t>
        <w:br/>
      </w:r>
      <w:r>
        <w:t>2. Health Education Campaigns: Community awareness on gastroenteritis prevention</w:t>
        <w:br/>
      </w:r>
      <w:r>
        <w:t>3. Surveillance Systems: Enhanced monitoring of gastroenteritis hospitalization trends</w:t>
      </w:r>
    </w:p>
    <w:p>
      <w:r>
        <w:br w:type="page"/>
      </w:r>
    </w:p>
    <w:p>
      <w:pPr>
        <w:pStyle w:val="Heading1Style"/>
      </w:pPr>
      <w:r>
        <w:t>REFERENCES</w:t>
      </w:r>
    </w:p>
    <w:p>
      <w:pPr>
        <w:pStyle w:val="NormalStyle"/>
      </w:pPr>
      <w:r>
        <w:t>1. World Health Organization. Diarrhoeal disease. Geneva: WHO; 2022.</w:t>
      </w:r>
    </w:p>
    <w:p>
      <w:pPr>
        <w:pStyle w:val="NormalStyle"/>
      </w:pPr>
      <w:r>
        <w:t>2. Ministry of Health and Family Welfare. National Health Profile 2019. New Delhi: Government of India; 2019.</w:t>
      </w:r>
    </w:p>
    <w:p>
      <w:pPr>
        <w:pStyle w:val="NormalStyle"/>
      </w:pPr>
      <w:r>
        <w:t>3. Koul PA, Mir H, Akram S, et al. Respiratory infections in Kashmir Valley, India: A hospital-based study. Lung India. 2016;33(2):123-129.</w:t>
      </w:r>
    </w:p>
    <w:p>
      <w:pPr>
        <w:pStyle w:val="NormalStyle"/>
      </w:pPr>
      <w:r>
        <w:t>4. Chowdhury R, Mukherjee A, Mukherjee S, et al. Respiratory infections in India: A systematic review. Journal of Global Health. 2022;12:03001.</w:t>
      </w:r>
    </w:p>
    <w:p>
      <w:pPr>
        <w:pStyle w:val="NormalStyle"/>
      </w:pPr>
      <w:r>
        <w:t>5. Bhandari N, Rongsen-Chandola T, Bavdekar A, et al. Efficacy of a monovalent human-bovine (116E) rotavirus vaccine in Indian infants: a randomised, double-blind, placebo-controlled trial. The Lancet. 2014;384(9951):2136-2143.</w:t>
      </w:r>
    </w:p>
    <w:p>
      <w:pPr>
        <w:pStyle w:val="NormalStyle"/>
      </w:pPr>
      <w:r>
        <w:t>6. John J, Sarkar R, Muliyil J, et al. Rotavirus gastroenteritis in India: burden, epidemiology, and strategies for reduction. The National Medical Journal of India. 2014;27(2):98-99.</w:t>
      </w:r>
    </w:p>
    <w:p>
      <w:pPr>
        <w:pStyle w:val="NormalStyle"/>
      </w:pPr>
      <w:r>
        <w:t>7. Liu L, Oza S, Hogan D, et al. Global, regional, and national causes of child mortality in 2000-13, with projections to inform post-2015 priorities: an updated systematic analysis. The Lancet. 2015;385(9966):430-440.</w:t>
      </w:r>
    </w:p>
    <w:p>
      <w:pPr>
        <w:pStyle w:val="NormalStyle"/>
      </w:pPr>
      <w:r>
        <w:t>8. Nair H, Simões EA, Rudan I, et al. Global and regional burden of hospital admissions for severe acute lower respiratory infections in young children in 2010: a systematic analysis. The Lancet. 2013;381(9875):1380-1390.</w:t>
      </w:r>
    </w:p>
    <w:p>
      <w:pPr>
        <w:pStyle w:val="NormalStyle"/>
      </w:pPr>
      <w:r>
        <w:t>9. Troeger C, Khalil IA, Rao PC, et al. Rotavirus vaccination and the global burden of rotavirus diarrhea among children younger than 5 years. JAMA Pediatrics. 2018;172(10):958-965.</w:t>
      </w:r>
    </w:p>
    <w:p>
      <w:pPr>
        <w:pStyle w:val="NormalStyle"/>
      </w:pPr>
      <w:r>
        <w:t>10. Jha P, Jacob B, Gajalakshmi V, et al. A nationally representative case-control study of smoking and death in India. New England Journal of Medicine. 2008;358(11):1137-1147.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spacing w:after="480"/>
      <w:jc w:val="center"/>
    </w:pPr>
    <w:rPr>
      <w:rFonts w:ascii="Times New Roman" w:hAnsi="Times New Roman"/>
      <w:b/>
      <w:sz w:val="32"/>
    </w:rPr>
  </w:style>
  <w:style w:type="paragraph" w:customStyle="1" w:styleId="Heading1Style">
    <w:name w:val="Heading1Style"/>
    <w:pPr>
      <w:spacing w:before="360" w:after="240"/>
    </w:pPr>
    <w:rPr>
      <w:rFonts w:ascii="Times New Roman" w:hAnsi="Times New Roman"/>
      <w:b/>
      <w:sz w:val="28"/>
    </w:rPr>
  </w:style>
  <w:style w:type="paragraph" w:customStyle="1" w:styleId="Heading2Style">
    <w:name w:val="Heading2Style"/>
    <w:pPr>
      <w:spacing w:before="240" w:after="160"/>
    </w:pPr>
    <w:rPr>
      <w:rFonts w:ascii="Times New Roman" w:hAnsi="Times New Roman"/>
      <w:b/>
      <w:sz w:val="24"/>
    </w:rPr>
  </w:style>
  <w:style w:type="paragraph" w:customStyle="1" w:styleId="NormalStyle">
    <w:name w:val="NormalStyle"/>
    <w:pPr>
      <w:spacing w:line="240" w:lineRule="auto" w:after="12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Analysis of Acute Gastroenteritis and Diarrheal Diseases</dc:title>
  <dc:subject>Medical Research Manuscript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