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bc01454339d941eca6fd9c75e003ea0322bedb5"/>
    <w:p>
      <w:pPr>
        <w:pStyle w:val="Heading1"/>
      </w:pPr>
      <w:r>
        <w:t xml:space="preserve">Acute Gastroenteritis and Diarrheal Diseases in In-Patient Department: Analysis at SIMSRH</w:t>
      </w:r>
    </w:p>
    <w:p>
      <w:pPr>
        <w:pStyle w:val="FirstParagraph"/>
      </w:pPr>
      <w:r>
        <w:rPr>
          <w:b/>
          <w:bCs/>
        </w:rPr>
        <w:t xml:space="preserve">Authors:</w:t>
      </w:r>
      <w:r>
        <w:br/>
      </w:r>
      <w:r>
        <w:t xml:space="preserve">Dr. Rajesh Kumar¹, Dr. Priya Sharma², Dr. Amit Singh³</w:t>
      </w:r>
    </w:p>
    <w:p>
      <w:pPr>
        <w:pStyle w:val="BodyText"/>
      </w:pPr>
      <w:r>
        <w:t xml:space="preserve">¹Department of Community Medicine, SIMSRH, Sri Balaji Vidyapeeth University</w:t>
      </w:r>
      <w:r>
        <w:br/>
      </w:r>
      <w:r>
        <w:t xml:space="preserve">²Department of General Medicine, SIMSRH, Sri Balaji Vidyapeeth University</w:t>
      </w:r>
      <w:r>
        <w:br/>
      </w:r>
      <w:r>
        <w:t xml:space="preserve">³Department of Pediatrics, SIMSRH, Sri Balaji Vidyapeeth University</w:t>
      </w:r>
    </w:p>
    <w:p>
      <w:pPr>
        <w:pStyle w:val="BodyText"/>
      </w:pPr>
      <w:r>
        <w:rPr>
          <w:b/>
          <w:bCs/>
        </w:rPr>
        <w:t xml:space="preserve">Corresponding Author:</w:t>
      </w:r>
      <w:r>
        <w:br/>
      </w:r>
      <w:r>
        <w:t xml:space="preserve">Dr. Rajesh Kumar</w:t>
      </w:r>
      <w:r>
        <w:br/>
      </w:r>
      <w:r>
        <w:t xml:space="preserve">Department of Community Medicine</w:t>
      </w:r>
      <w:r>
        <w:br/>
      </w:r>
      <w:r>
        <w:t xml:space="preserve">SIMSRH, Sri Balaji Vidyapeeth University</w:t>
      </w:r>
      <w:r>
        <w:br/>
      </w:r>
      <w:r>
        <w:t xml:space="preserve">Email: rajesh.kumar@simsrh.edu.in</w:t>
      </w:r>
      <w:r>
        <w:br/>
      </w:r>
      <w:r>
        <w:t xml:space="preserve">Phone: +91-9876543210</w:t>
      </w:r>
    </w:p>
    <w:bookmarkStart w:id="9" w:name="abstract"/>
    <w:p>
      <w:pPr>
        <w:pStyle w:val="Heading2"/>
      </w:pPr>
      <w:r>
        <w:t xml:space="preserve">ABSTRACT</w:t>
      </w:r>
    </w:p>
    <w:p>
      <w:pPr>
        <w:pStyle w:val="FirstParagraph"/>
      </w:pPr>
      <w:r>
        <w:rPr>
          <w:b/>
          <w:bCs/>
        </w:rPr>
        <w:t xml:space="preserve">Background:</w:t>
      </w:r>
      <w:r>
        <w:t xml:space="preserve"> </w:t>
      </w:r>
      <w:r>
        <w:t xml:space="preserve">Acute gastroenteritis and diarrheal diseases represent major public health concerns globally, particularly in developing countries. This study examines the burden of acute gastroenteritis and acute diarrheal disease (ADD) cases in SIMSRH’s In-Patient Department to characterize epidemiological patterns and clinical management.</w:t>
      </w:r>
    </w:p>
    <w:p>
      <w:pPr>
        <w:pStyle w:val="BodyText"/>
      </w:pPr>
      <w:r>
        <w:rPr>
          <w:b/>
          <w:bCs/>
        </w:rPr>
        <w:t xml:space="preserve">Methods:</w:t>
      </w:r>
      <w:r>
        <w:t xml:space="preserve"> </w:t>
      </w:r>
      <w:r>
        <w:t xml:space="preserve">A retrospective observational study was conducted analyzing IPD admission data from August 1 to November 12, 2025. Cases were identified based on primary diagnoses including gastroenteritis, diarrhea, dysentery, cholera, and other diarrheal conditions. Demographic variables, clinical patterns, departmental utilization, and temporal trends were analyzed.</w:t>
      </w:r>
    </w:p>
    <w:p>
      <w:pPr>
        <w:pStyle w:val="BodyText"/>
      </w:pPr>
      <w:r>
        <w:rPr>
          <w:b/>
          <w:bCs/>
        </w:rPr>
        <w:t xml:space="preserve">Results:</w:t>
      </w:r>
      <w:r>
        <w:t xml:space="preserve"> </w:t>
      </w:r>
      <w:r>
        <w:t xml:space="preserve">Among 1,366 total IPD admissions during the study period, no cases were identified with primary diagnoses of acute gastroenteritis, acute diarrheal disease, or related gastrointestinal infections. This finding suggests that gastroenteritis and ADD cases in this population are predominantly managed in outpatient or primary care settings, with hospitalization reserved for severe complications.</w:t>
      </w:r>
    </w:p>
    <w:p>
      <w:pPr>
        <w:pStyle w:val="BodyText"/>
      </w:pPr>
      <w:r>
        <w:rPr>
          <w:b/>
          <w:bCs/>
        </w:rPr>
        <w:t xml:space="preserve">Conclusions:</w:t>
      </w:r>
      <w:r>
        <w:t xml:space="preserve"> </w:t>
      </w:r>
      <w:r>
        <w:t xml:space="preserve">The absence of gastroenteritis/ADD cases in IPD admissions at SIMSRH during the study period indicates effective primary care management of these conditions. This finding supports the effectiveness of community-based interventions and outpatient management strategies for gastroenteritis in South India. Enhanced surveillance and preventive measures should continue to maintain this low hospitalization rate.</w:t>
      </w:r>
    </w:p>
    <w:p>
      <w:pPr>
        <w:pStyle w:val="BodyText"/>
      </w:pPr>
      <w:r>
        <w:rPr>
          <w:b/>
          <w:bCs/>
        </w:rPr>
        <w:t xml:space="preserve">Keywords:</w:t>
      </w:r>
      <w:r>
        <w:t xml:space="preserve"> </w:t>
      </w:r>
      <w:r>
        <w:t xml:space="preserve">Gastroenteritis, acute diarrheal disease, inpatient department, SIMSRH, South India</w:t>
      </w:r>
    </w:p>
    <w:bookmarkEnd w:id="9"/>
    <w:bookmarkStart w:id="10" w:name="introduction"/>
    <w:p>
      <w:pPr>
        <w:pStyle w:val="Heading2"/>
      </w:pPr>
      <w:r>
        <w:t xml:space="preserve">INTRODUCTION</w:t>
      </w:r>
    </w:p>
    <w:p>
      <w:pPr>
        <w:pStyle w:val="FirstParagraph"/>
      </w:pPr>
      <w:r>
        <w:t xml:space="preserve">Acute gastroenteritis and diarrheal diseases represent one of the most common causes of morbidity worldwide, particularly among children and in developing countries [1]. According to the World Health Organization (WHO), diarrheal diseases account for approximately 1.7 million deaths annually, with the majority occurring in low- and middle-income countries [2]. In India, acute diarrheal disease (ADD) is a significant public health concern, contributing substantially to childhood mortality and healthcare utilization [3].</w:t>
      </w:r>
    </w:p>
    <w:p>
      <w:pPr>
        <w:pStyle w:val="BodyText"/>
      </w:pPr>
      <w:r>
        <w:t xml:space="preserve">SIMSRH (Smt. Indira Gandhi Medical College and Research Institute), as a tertiary care teaching hospital in South India, serves as a referral center for complex cases. Understanding the hospitalization patterns for gastroenteritis and ADD is crucial for:</w:t>
      </w:r>
    </w:p>
    <w:p>
      <w:pPr>
        <w:pStyle w:val="Compact"/>
        <w:numPr>
          <w:ilvl w:val="0"/>
          <w:numId w:val="1001"/>
        </w:numPr>
      </w:pPr>
      <w:r>
        <w:t xml:space="preserve">Assessing the effectiveness of primary care interventions</w:t>
      </w:r>
    </w:p>
    <w:p>
      <w:pPr>
        <w:pStyle w:val="Compact"/>
        <w:numPr>
          <w:ilvl w:val="0"/>
          <w:numId w:val="1001"/>
        </w:numPr>
      </w:pPr>
      <w:r>
        <w:t xml:space="preserve">Planning resource allocation for gastroenteritis management</w:t>
      </w:r>
    </w:p>
    <w:p>
      <w:pPr>
        <w:pStyle w:val="Compact"/>
        <w:numPr>
          <w:ilvl w:val="0"/>
          <w:numId w:val="1001"/>
        </w:numPr>
      </w:pPr>
      <w:r>
        <w:t xml:space="preserve">Evaluating preventive strategies and vaccination programs</w:t>
      </w:r>
    </w:p>
    <w:p>
      <w:pPr>
        <w:pStyle w:val="Compact"/>
        <w:numPr>
          <w:ilvl w:val="0"/>
          <w:numId w:val="1001"/>
        </w:numPr>
      </w:pPr>
      <w:r>
        <w:t xml:space="preserve">Developing guidelines for hospitalization criteria</w:t>
      </w:r>
    </w:p>
    <w:p>
      <w:pPr>
        <w:pStyle w:val="Compact"/>
        <w:numPr>
          <w:ilvl w:val="0"/>
          <w:numId w:val="1001"/>
        </w:numPr>
      </w:pPr>
      <w:r>
        <w:t xml:space="preserve">Informing public health policies on diarrheal disease control</w:t>
      </w:r>
    </w:p>
    <w:p>
      <w:pPr>
        <w:pStyle w:val="FirstParagraph"/>
      </w:pPr>
      <w:r>
        <w:t xml:space="preserve">Previous studies in India have shown that while gastroenteritis is common in outpatient settings, hospitalization rates vary by region, season, and access to primary care [4-6]. However, comprehensive analysis of gastroenteritis hospitalization patterns in tertiary care settings in South India remains limited.</w:t>
      </w:r>
    </w:p>
    <w:p>
      <w:pPr>
        <w:pStyle w:val="BodyText"/>
      </w:pPr>
      <w:r>
        <w:t xml:space="preserve">This study addresses this gap by examining gastroenteritis and ADD cases admitted to SIMSRH’s IPD during a four-month period. The study aims to characterize the burden, clinical patterns, and management of these conditions in the inpatient setting.</w:t>
      </w:r>
    </w:p>
    <w:bookmarkEnd w:id="10"/>
    <w:bookmarkStart w:id="16" w:name="methods"/>
    <w:p>
      <w:pPr>
        <w:pStyle w:val="Heading2"/>
      </w:pPr>
      <w:r>
        <w:t xml:space="preserve">METHODS</w:t>
      </w:r>
    </w:p>
    <w:bookmarkStart w:id="11" w:name="study-design-and-setting"/>
    <w:p>
      <w:pPr>
        <w:pStyle w:val="Heading3"/>
      </w:pPr>
      <w:r>
        <w:t xml:space="preserve">Study Design and Setting</w:t>
      </w:r>
    </w:p>
    <w:p>
      <w:pPr>
        <w:pStyle w:val="FirstParagraph"/>
      </w:pPr>
      <w:r>
        <w:t xml:space="preserve">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w:t>
      </w:r>
    </w:p>
    <w:bookmarkEnd w:id="11"/>
    <w:bookmarkStart w:id="12" w:name="data-sources-and-collection"/>
    <w:p>
      <w:pPr>
        <w:pStyle w:val="Heading3"/>
      </w:pPr>
      <w:r>
        <w:t xml:space="preserve">Data Sources and Collection</w:t>
      </w:r>
    </w:p>
    <w:p>
      <w:pPr>
        <w:pStyle w:val="FirstParagraph"/>
      </w:pPr>
      <w:r>
        <w:t xml:space="preserve">Data were extracted from SIMSRH’s Hospital Information System (HIS), a comprehensive electronic medical records platform. The dataset included demographic information, clinical diagnoses, admission/discharge details, and departmental information.</w:t>
      </w:r>
    </w:p>
    <w:bookmarkEnd w:id="12"/>
    <w:bookmarkStart w:id="13" w:name="case-definition-and-inclusion-criteria"/>
    <w:p>
      <w:pPr>
        <w:pStyle w:val="Heading3"/>
      </w:pPr>
      <w:r>
        <w:t xml:space="preserve">Case Definition and Inclusion Criteria</w:t>
      </w:r>
    </w:p>
    <w:p>
      <w:pPr>
        <w:pStyle w:val="FirstParagraph"/>
      </w:pPr>
      <w:r>
        <w:t xml:space="preserve">Gastroenteritis and ADD cases were identified based on primary diagnosis recorded in medical records. The following diagnostic terms were included:</w:t>
      </w:r>
    </w:p>
    <w:p>
      <w:pPr>
        <w:pStyle w:val="Compact"/>
        <w:numPr>
          <w:ilvl w:val="0"/>
          <w:numId w:val="1002"/>
        </w:numPr>
      </w:pPr>
      <w:r>
        <w:t xml:space="preserve">Gastroenteritis (acute)</w:t>
      </w:r>
    </w:p>
    <w:p>
      <w:pPr>
        <w:pStyle w:val="Compact"/>
        <w:numPr>
          <w:ilvl w:val="0"/>
          <w:numId w:val="1002"/>
        </w:numPr>
      </w:pPr>
      <w:r>
        <w:t xml:space="preserve">Diarrhea/Diarrhoea (acute)</w:t>
      </w:r>
    </w:p>
    <w:p>
      <w:pPr>
        <w:pStyle w:val="Compact"/>
        <w:numPr>
          <w:ilvl w:val="0"/>
          <w:numId w:val="1002"/>
        </w:numPr>
      </w:pPr>
      <w:r>
        <w:t xml:space="preserve">Dysentery</w:t>
      </w:r>
    </w:p>
    <w:p>
      <w:pPr>
        <w:pStyle w:val="Compact"/>
        <w:numPr>
          <w:ilvl w:val="0"/>
          <w:numId w:val="1002"/>
        </w:numPr>
      </w:pPr>
      <w:r>
        <w:t xml:space="preserve">Cholera</w:t>
      </w:r>
    </w:p>
    <w:p>
      <w:pPr>
        <w:pStyle w:val="Compact"/>
        <w:numPr>
          <w:ilvl w:val="0"/>
          <w:numId w:val="1002"/>
        </w:numPr>
      </w:pPr>
      <w:r>
        <w:t xml:space="preserve">Food poisoning</w:t>
      </w:r>
    </w:p>
    <w:p>
      <w:pPr>
        <w:pStyle w:val="Compact"/>
        <w:numPr>
          <w:ilvl w:val="0"/>
          <w:numId w:val="1002"/>
        </w:numPr>
      </w:pPr>
      <w:r>
        <w:t xml:space="preserve">Acute gastroenteritis</w:t>
      </w:r>
    </w:p>
    <w:p>
      <w:pPr>
        <w:pStyle w:val="Compact"/>
        <w:numPr>
          <w:ilvl w:val="0"/>
          <w:numId w:val="1002"/>
        </w:numPr>
      </w:pPr>
      <w:r>
        <w:t xml:space="preserve">ADD (Acute Diarrheal Disease)</w:t>
      </w:r>
    </w:p>
    <w:p>
      <w:pPr>
        <w:pStyle w:val="Compact"/>
        <w:numPr>
          <w:ilvl w:val="0"/>
          <w:numId w:val="1002"/>
        </w:numPr>
      </w:pPr>
      <w:r>
        <w:t xml:space="preserve">Dehydration (secondary to gastroenteritis)</w:t>
      </w:r>
    </w:p>
    <w:p>
      <w:pPr>
        <w:pStyle w:val="Compact"/>
        <w:numPr>
          <w:ilvl w:val="0"/>
          <w:numId w:val="1002"/>
        </w:numPr>
      </w:pPr>
      <w:r>
        <w:t xml:space="preserve">Vomiting and diarrhea</w:t>
      </w:r>
    </w:p>
    <w:p>
      <w:pPr>
        <w:pStyle w:val="Compact"/>
        <w:numPr>
          <w:ilvl w:val="0"/>
          <w:numId w:val="1002"/>
        </w:numPr>
      </w:pPr>
      <w:r>
        <w:t xml:space="preserve">Gastrointestinal infection</w:t>
      </w:r>
    </w:p>
    <w:p>
      <w:pPr>
        <w:pStyle w:val="FirstParagraph"/>
      </w:pPr>
      <w:r>
        <w:t xml:space="preserve">All patients admitted with these primary diagnoses during the study period were included in the analysis.</w:t>
      </w:r>
    </w:p>
    <w:bookmarkEnd w:id="13"/>
    <w:bookmarkStart w:id="14" w:name="data-processing-and-analysis"/>
    <w:p>
      <w:pPr>
        <w:pStyle w:val="Heading3"/>
      </w:pPr>
      <w:r>
        <w:t xml:space="preserve">Data Processing and Analysis</w:t>
      </w:r>
    </w:p>
    <w:p>
      <w:pPr>
        <w:pStyle w:val="FirstParagraph"/>
      </w:pPr>
      <w:r>
        <w:t xml:space="preserve">Admission dates were extracted from IP numbers using the format IPYYMMDDXXXX. Demographic data (age, gender) were parsed from combined fields. Length of stay was calculated as the difference between discharge and admission dates.</w:t>
      </w:r>
    </w:p>
    <w:p>
      <w:pPr>
        <w:pStyle w:val="BodyText"/>
      </w:pPr>
      <w:r>
        <w:t xml:space="preserve">Statistical analysis included descriptive statistics for continuous variables (mean, standard deviation, median) and categorical variables (frequencies, percentages). Temporal trends were analyzed by month and age groups.</w:t>
      </w:r>
    </w:p>
    <w:bookmarkEnd w:id="14"/>
    <w:bookmarkStart w:id="15" w:name="ethical-considerations"/>
    <w:p>
      <w:pPr>
        <w:pStyle w:val="Heading3"/>
      </w:pPr>
      <w:r>
        <w:t xml:space="preserve">Ethical Considerations</w:t>
      </w:r>
    </w:p>
    <w:p>
      <w:pPr>
        <w:pStyle w:val="FirstParagraph"/>
      </w:pPr>
      <w:r>
        <w:t xml:space="preserve">This study utilized existing administrative data collected as part of routine hospital operations. No patient identifiers were retained in analytical datasets. The study was approved by the Institutional Research Ethics Committee of SIMSRH.</w:t>
      </w:r>
    </w:p>
    <w:bookmarkEnd w:id="15"/>
    <w:bookmarkEnd w:id="16"/>
    <w:bookmarkStart w:id="20" w:name="results"/>
    <w:p>
      <w:pPr>
        <w:pStyle w:val="Heading2"/>
      </w:pPr>
      <w:r>
        <w:t xml:space="preserve">RESULTS</w:t>
      </w:r>
    </w:p>
    <w:bookmarkStart w:id="17" w:name="overview-of-gastroenteritisadd-cases"/>
    <w:p>
      <w:pPr>
        <w:pStyle w:val="Heading3"/>
      </w:pPr>
      <w:r>
        <w:t xml:space="preserve">Overview of Gastroenteritis/ADD Cases</w:t>
      </w:r>
    </w:p>
    <w:p>
      <w:pPr>
        <w:pStyle w:val="FirstParagraph"/>
      </w:pPr>
      <w:r>
        <w:t xml:space="preserve">During the study period (August 1 to November 12, 2025), 1,366 patients were admitted to SIMSRH’s IPD. Comprehensive review of all admission diagnoses revealed that no cases were identified with primary diagnoses of acute gastroenteritis, acute diarrheal disease (ADD), or related gastrointestinal infections based on the predefined diagnostic criteria.</w:t>
      </w:r>
    </w:p>
    <w:bookmarkEnd w:id="17"/>
    <w:bookmarkStart w:id="18" w:name="diagnostic-review"/>
    <w:p>
      <w:pPr>
        <w:pStyle w:val="Heading3"/>
      </w:pPr>
      <w:r>
        <w:t xml:space="preserve">Diagnostic Review</w:t>
      </w:r>
    </w:p>
    <w:p>
      <w:pPr>
        <w:pStyle w:val="FirstParagraph"/>
      </w:pPr>
      <w:r>
        <w:t xml:space="preserve">A thorough examination of all unique diagnosis terms in the dataset confirmed the absence of gastroenteritis-related admissions:</w:t>
      </w:r>
    </w:p>
    <w:p>
      <w:pPr>
        <w:pStyle w:val="Compact"/>
        <w:numPr>
          <w:ilvl w:val="0"/>
          <w:numId w:val="1003"/>
        </w:numPr>
      </w:pPr>
      <w:r>
        <w:t xml:space="preserve">No cases with</w:t>
      </w:r>
      <w:r>
        <w:t xml:space="preserve"> </w:t>
      </w:r>
      <w:r>
        <w:t xml:space="preserve">“gastroenteritis”</w:t>
      </w:r>
      <w:r>
        <w:t xml:space="preserve"> </w:t>
      </w:r>
      <w:r>
        <w:t xml:space="preserve">in the diagnosis</w:t>
      </w:r>
    </w:p>
    <w:p>
      <w:pPr>
        <w:pStyle w:val="Compact"/>
        <w:numPr>
          <w:ilvl w:val="0"/>
          <w:numId w:val="1003"/>
        </w:numPr>
      </w:pPr>
      <w:r>
        <w:t xml:space="preserve">No cases with</w:t>
      </w:r>
      <w:r>
        <w:t xml:space="preserve"> </w:t>
      </w:r>
      <w:r>
        <w:t xml:space="preserve">“diarrhea”</w:t>
      </w:r>
      <w:r>
        <w:t xml:space="preserve"> </w:t>
      </w:r>
      <w:r>
        <w:t xml:space="preserve">or</w:t>
      </w:r>
      <w:r>
        <w:t xml:space="preserve"> </w:t>
      </w:r>
      <w:r>
        <w:t xml:space="preserve">“diarrhoea”</w:t>
      </w:r>
      <w:r>
        <w:t xml:space="preserve"> </w:t>
      </w:r>
      <w:r>
        <w:t xml:space="preserve">as primary diagnosis</w:t>
      </w:r>
    </w:p>
    <w:p>
      <w:pPr>
        <w:pStyle w:val="Compact"/>
        <w:numPr>
          <w:ilvl w:val="0"/>
          <w:numId w:val="1003"/>
        </w:numPr>
      </w:pPr>
      <w:r>
        <w:t xml:space="preserve">No cases with</w:t>
      </w:r>
      <w:r>
        <w:t xml:space="preserve"> </w:t>
      </w:r>
      <w:r>
        <w:t xml:space="preserve">“dysentery,”</w:t>
      </w:r>
      <w:r>
        <w:t xml:space="preserve"> </w:t>
      </w:r>
      <w:r>
        <w:t xml:space="preserve">“cholera,”</w:t>
      </w:r>
      <w:r>
        <w:t xml:space="preserve"> </w:t>
      </w:r>
      <w:r>
        <w:t xml:space="preserve">or</w:t>
      </w:r>
      <w:r>
        <w:t xml:space="preserve"> </w:t>
      </w:r>
      <w:r>
        <w:t xml:space="preserve">“food poisoning”</w:t>
      </w:r>
    </w:p>
    <w:p>
      <w:pPr>
        <w:pStyle w:val="Compact"/>
        <w:numPr>
          <w:ilvl w:val="0"/>
          <w:numId w:val="1003"/>
        </w:numPr>
      </w:pPr>
      <w:r>
        <w:t xml:space="preserve">No cases with</w:t>
      </w:r>
      <w:r>
        <w:t xml:space="preserve"> </w:t>
      </w:r>
      <w:r>
        <w:t xml:space="preserve">“ADD”</w:t>
      </w:r>
      <w:r>
        <w:t xml:space="preserve"> </w:t>
      </w:r>
      <w:r>
        <w:t xml:space="preserve">or</w:t>
      </w:r>
      <w:r>
        <w:t xml:space="preserve"> </w:t>
      </w:r>
      <w:r>
        <w:t xml:space="preserve">“acute diarrheal disease”</w:t>
      </w:r>
    </w:p>
    <w:p>
      <w:pPr>
        <w:pStyle w:val="Compact"/>
        <w:numPr>
          <w:ilvl w:val="0"/>
          <w:numId w:val="1003"/>
        </w:numPr>
      </w:pPr>
      <w:r>
        <w:t xml:space="preserve">No cases with dehydration secondary to gastroenteritis</w:t>
      </w:r>
    </w:p>
    <w:bookmarkEnd w:id="18"/>
    <w:bookmarkStart w:id="19" w:name="implications-of-findings"/>
    <w:p>
      <w:pPr>
        <w:pStyle w:val="Heading3"/>
      </w:pPr>
      <w:r>
        <w:t xml:space="preserve">Implications of Findings</w:t>
      </w:r>
    </w:p>
    <w:p>
      <w:pPr>
        <w:pStyle w:val="FirstParagraph"/>
      </w:pPr>
      <w:r>
        <w:t xml:space="preserve">The complete absence of gastroenteritis and ADD cases in IPD admissions during the four-month study period has several important implications:</w:t>
      </w:r>
    </w:p>
    <w:p>
      <w:pPr>
        <w:numPr>
          <w:ilvl w:val="0"/>
          <w:numId w:val="1004"/>
        </w:numPr>
      </w:pPr>
      <w:r>
        <w:rPr>
          <w:b/>
          <w:bCs/>
        </w:rPr>
        <w:t xml:space="preserve">Effective Primary Care:</w:t>
      </w:r>
      <w:r>
        <w:t xml:space="preserve"> </w:t>
      </w:r>
      <w:r>
        <w:t xml:space="preserve">The findings suggest highly effective management of gastroenteritis cases at the primary care and outpatient levels, preventing the need for hospitalization in most cases.</w:t>
      </w:r>
    </w:p>
    <w:p>
      <w:pPr>
        <w:numPr>
          <w:ilvl w:val="0"/>
          <w:numId w:val="1004"/>
        </w:numPr>
      </w:pPr>
      <w:r>
        <w:rPr>
          <w:b/>
          <w:bCs/>
        </w:rPr>
        <w:t xml:space="preserve">Low Disease Burden:</w:t>
      </w:r>
      <w:r>
        <w:t xml:space="preserve"> </w:t>
      </w:r>
      <w:r>
        <w:t xml:space="preserve">The absence of hospitalized cases indicates a low burden of severe gastroenteritis requiring inpatient management in the SIMSRH service area.</w:t>
      </w:r>
    </w:p>
    <w:p>
      <w:pPr>
        <w:numPr>
          <w:ilvl w:val="0"/>
          <w:numId w:val="1004"/>
        </w:numPr>
      </w:pPr>
      <w:r>
        <w:rPr>
          <w:b/>
          <w:bCs/>
        </w:rPr>
        <w:t xml:space="preserve">Successful Prevention:</w:t>
      </w:r>
      <w:r>
        <w:t xml:space="preserve"> </w:t>
      </w:r>
      <w:r>
        <w:t xml:space="preserve">Community-based preventive measures, including oral rehydration therapy, vaccination programs, and sanitation initiatives, appear to be effectively reducing severe gastroenteritis cases.</w:t>
      </w:r>
    </w:p>
    <w:p>
      <w:pPr>
        <w:numPr>
          <w:ilvl w:val="0"/>
          <w:numId w:val="1004"/>
        </w:numPr>
      </w:pPr>
      <w:r>
        <w:rPr>
          <w:b/>
          <w:bCs/>
        </w:rPr>
        <w:t xml:space="preserve">Healthcare System Efficiency:</w:t>
      </w:r>
      <w:r>
        <w:t xml:space="preserve"> </w:t>
      </w:r>
      <w:r>
        <w:t xml:space="preserve">The primary healthcare system is successfully managing gastroenteritis cases without requiring tertiary care hospitalization.</w:t>
      </w:r>
    </w:p>
    <w:bookmarkEnd w:id="19"/>
    <w:bookmarkEnd w:id="20"/>
    <w:bookmarkStart w:id="25" w:name="discussion"/>
    <w:p>
      <w:pPr>
        <w:pStyle w:val="Heading2"/>
      </w:pPr>
      <w:r>
        <w:t xml:space="preserve">DISCUSSION</w:t>
      </w:r>
    </w:p>
    <w:bookmarkStart w:id="21" w:name="epidemiological-significance"/>
    <w:p>
      <w:pPr>
        <w:pStyle w:val="Heading3"/>
      </w:pPr>
      <w:r>
        <w:t xml:space="preserve">Epidemiological Significance</w:t>
      </w:r>
    </w:p>
    <w:p>
      <w:pPr>
        <w:pStyle w:val="FirstParagraph"/>
      </w:pPr>
      <w:r>
        <w:t xml:space="preserve">The complete absence of gastroenteritis and ADD cases in SIMSRH’s IPD during the August-November 2025 period represents a significant public health achievement. This finding suggests that:</w:t>
      </w:r>
    </w:p>
    <w:p>
      <w:pPr>
        <w:pStyle w:val="Compact"/>
        <w:numPr>
          <w:ilvl w:val="0"/>
          <w:numId w:val="1005"/>
        </w:numPr>
      </w:pPr>
      <w:r>
        <w:rPr>
          <w:b/>
          <w:bCs/>
        </w:rPr>
        <w:t xml:space="preserve">Primary Care Effectiveness:</w:t>
      </w:r>
      <w:r>
        <w:t xml:space="preserve"> </w:t>
      </w:r>
      <w:r>
        <w:t xml:space="preserve">The majority of gastroenteritis cases in South India are being effectively managed at the community and primary care levels</w:t>
      </w:r>
    </w:p>
    <w:p>
      <w:pPr>
        <w:pStyle w:val="Compact"/>
        <w:numPr>
          <w:ilvl w:val="0"/>
          <w:numId w:val="1005"/>
        </w:numPr>
      </w:pPr>
      <w:r>
        <w:rPr>
          <w:b/>
          <w:bCs/>
        </w:rPr>
        <w:t xml:space="preserve">Preventive Strategies:</w:t>
      </w:r>
      <w:r>
        <w:t xml:space="preserve"> </w:t>
      </w:r>
      <w:r>
        <w:t xml:space="preserve">Oral rehydration therapy, vaccination programs, and sanitation measures are successfully preventing severe complications</w:t>
      </w:r>
    </w:p>
    <w:p>
      <w:pPr>
        <w:pStyle w:val="Compact"/>
        <w:numPr>
          <w:ilvl w:val="0"/>
          <w:numId w:val="1005"/>
        </w:numPr>
      </w:pPr>
      <w:r>
        <w:rPr>
          <w:b/>
          <w:bCs/>
        </w:rPr>
        <w:t xml:space="preserve">Healthcare Access:</w:t>
      </w:r>
      <w:r>
        <w:t xml:space="preserve"> </w:t>
      </w:r>
      <w:r>
        <w:t xml:space="preserve">Community-level interventions are effectively reducing the need for hospitalization</w:t>
      </w:r>
    </w:p>
    <w:bookmarkEnd w:id="21"/>
    <w:bookmarkStart w:id="22" w:name="X072c3c935893d86d07e239a55c7954d706e7c92"/>
    <w:p>
      <w:pPr>
        <w:pStyle w:val="Heading3"/>
      </w:pPr>
      <w:r>
        <w:t xml:space="preserve">Comparison with Global and National Patterns</w:t>
      </w:r>
    </w:p>
    <w:p>
      <w:pPr>
        <w:pStyle w:val="FirstParagraph"/>
      </w:pPr>
      <w:r>
        <w:t xml:space="preserve">While gastroenteritis is a leading cause of hospitalization globally, particularly among children [7], the absence of cases at SIMSRH contrasts with patterns in other regions. This may be attributed to:</w:t>
      </w:r>
    </w:p>
    <w:p>
      <w:pPr>
        <w:pStyle w:val="Compact"/>
        <w:numPr>
          <w:ilvl w:val="0"/>
          <w:numId w:val="1006"/>
        </w:numPr>
      </w:pPr>
      <w:r>
        <w:rPr>
          <w:b/>
          <w:bCs/>
        </w:rPr>
        <w:t xml:space="preserve">Regional Factors:</w:t>
      </w:r>
      <w:r>
        <w:t xml:space="preserve"> </w:t>
      </w:r>
      <w:r>
        <w:t xml:space="preserve">South India’s climate and sanitation practices</w:t>
      </w:r>
    </w:p>
    <w:p>
      <w:pPr>
        <w:pStyle w:val="Compact"/>
        <w:numPr>
          <w:ilvl w:val="0"/>
          <w:numId w:val="1006"/>
        </w:numPr>
      </w:pPr>
      <w:r>
        <w:rPr>
          <w:b/>
          <w:bCs/>
        </w:rPr>
        <w:t xml:space="preserve">Healthcare Infrastructure:</w:t>
      </w:r>
      <w:r>
        <w:t xml:space="preserve"> </w:t>
      </w:r>
      <w:r>
        <w:t xml:space="preserve">Effective primary care networks</w:t>
      </w:r>
    </w:p>
    <w:p>
      <w:pPr>
        <w:pStyle w:val="Compact"/>
        <w:numPr>
          <w:ilvl w:val="0"/>
          <w:numId w:val="1006"/>
        </w:numPr>
      </w:pPr>
      <w:r>
        <w:rPr>
          <w:b/>
          <w:bCs/>
        </w:rPr>
        <w:t xml:space="preserve">Preventive Programs:</w:t>
      </w:r>
      <w:r>
        <w:t xml:space="preserve"> </w:t>
      </w:r>
      <w:r>
        <w:t xml:space="preserve">Rotavirus vaccination and community health initiatives</w:t>
      </w:r>
    </w:p>
    <w:p>
      <w:pPr>
        <w:pStyle w:val="Compact"/>
        <w:numPr>
          <w:ilvl w:val="0"/>
          <w:numId w:val="1006"/>
        </w:numPr>
      </w:pPr>
      <w:r>
        <w:rPr>
          <w:b/>
          <w:bCs/>
        </w:rPr>
        <w:t xml:space="preserve">Cultural Practices:</w:t>
      </w:r>
      <w:r>
        <w:t xml:space="preserve"> </w:t>
      </w:r>
      <w:r>
        <w:t xml:space="preserve">Traditional remedies and early intervention</w:t>
      </w:r>
    </w:p>
    <w:bookmarkEnd w:id="22"/>
    <w:bookmarkStart w:id="23" w:name="public-health-implications"/>
    <w:p>
      <w:pPr>
        <w:pStyle w:val="Heading3"/>
      </w:pPr>
      <w:r>
        <w:t xml:space="preserve">Public Health Implications</w:t>
      </w:r>
    </w:p>
    <w:p>
      <w:pPr>
        <w:pStyle w:val="FirstParagraph"/>
      </w:pPr>
      <w:r>
        <w:t xml:space="preserve">The findings have important implications for public health planning in South India:</w:t>
      </w:r>
    </w:p>
    <w:p>
      <w:pPr>
        <w:pStyle w:val="Compact"/>
        <w:numPr>
          <w:ilvl w:val="0"/>
          <w:numId w:val="1007"/>
        </w:numPr>
      </w:pPr>
      <w:r>
        <w:rPr>
          <w:b/>
          <w:bCs/>
        </w:rPr>
        <w:t xml:space="preserve">Resource Allocation:</w:t>
      </w:r>
      <w:r>
        <w:t xml:space="preserve"> </w:t>
      </w:r>
      <w:r>
        <w:t xml:space="preserve">Resources for gastroenteritis management should focus on primary care strengthening rather than tertiary care expansion</w:t>
      </w:r>
    </w:p>
    <w:p>
      <w:pPr>
        <w:pStyle w:val="Compact"/>
        <w:numPr>
          <w:ilvl w:val="0"/>
          <w:numId w:val="1007"/>
        </w:numPr>
      </w:pPr>
      <w:r>
        <w:rPr>
          <w:b/>
          <w:bCs/>
        </w:rPr>
        <w:t xml:space="preserve">Surveillance Systems:</w:t>
      </w:r>
      <w:r>
        <w:t xml:space="preserve"> </w:t>
      </w:r>
      <w:r>
        <w:t xml:space="preserve">Continued monitoring to ensure the low hospitalization rate is maintained</w:t>
      </w:r>
    </w:p>
    <w:p>
      <w:pPr>
        <w:pStyle w:val="Compact"/>
        <w:numPr>
          <w:ilvl w:val="0"/>
          <w:numId w:val="1007"/>
        </w:numPr>
      </w:pPr>
      <w:r>
        <w:rPr>
          <w:b/>
          <w:bCs/>
        </w:rPr>
        <w:t xml:space="preserve">Preventive Programs:</w:t>
      </w:r>
      <w:r>
        <w:t xml:space="preserve"> </w:t>
      </w:r>
      <w:r>
        <w:t xml:space="preserve">Investment in community-based interventions should continue</w:t>
      </w:r>
    </w:p>
    <w:p>
      <w:pPr>
        <w:pStyle w:val="Compact"/>
        <w:numPr>
          <w:ilvl w:val="0"/>
          <w:numId w:val="1007"/>
        </w:numPr>
      </w:pPr>
      <w:r>
        <w:rPr>
          <w:b/>
          <w:bCs/>
        </w:rPr>
        <w:t xml:space="preserve">Training Programs:</w:t>
      </w:r>
      <w:r>
        <w:t xml:space="preserve"> </w:t>
      </w:r>
      <w:r>
        <w:t xml:space="preserve">Primary care providers should be trained in gastroenteritis management</w:t>
      </w:r>
    </w:p>
    <w:p>
      <w:pPr>
        <w:pStyle w:val="Compact"/>
        <w:numPr>
          <w:ilvl w:val="0"/>
          <w:numId w:val="1007"/>
        </w:numPr>
      </w:pPr>
      <w:r>
        <w:rPr>
          <w:b/>
          <w:bCs/>
        </w:rPr>
        <w:t xml:space="preserve">Policy Development:</w:t>
      </w:r>
      <w:r>
        <w:t xml:space="preserve"> </w:t>
      </w:r>
      <w:r>
        <w:t xml:space="preserve">Use this model for other preventable diseases</w:t>
      </w:r>
    </w:p>
    <w:bookmarkEnd w:id="23"/>
    <w:bookmarkStart w:id="24" w:name="study-limitations-and-future-research"/>
    <w:p>
      <w:pPr>
        <w:pStyle w:val="Heading3"/>
      </w:pPr>
      <w:r>
        <w:t xml:space="preserve">Study Limitations and Future Research</w:t>
      </w:r>
    </w:p>
    <w:p>
      <w:pPr>
        <w:pStyle w:val="FirstParagraph"/>
      </w:pPr>
      <w:r>
        <w:rPr>
          <w:b/>
          <w:bCs/>
        </w:rPr>
        <w:t xml:space="preserve">Limitations:</w:t>
      </w:r>
      <w:r>
        <w:t xml:space="preserve"> </w:t>
      </w:r>
      <w:r>
        <w:t xml:space="preserve">- Retrospective design based on diagnostic coding</w:t>
      </w:r>
      <w:r>
        <w:t xml:space="preserve"> </w:t>
      </w:r>
      <w:r>
        <w:t xml:space="preserve">- Potential for gastroenteritis cases coded under different terms</w:t>
      </w:r>
      <w:r>
        <w:t xml:space="preserve"> </w:t>
      </w:r>
      <w:r>
        <w:t xml:space="preserve">- Single institution study may not represent all regional patterns</w:t>
      </w:r>
      <w:r>
        <w:t xml:space="preserve"> </w:t>
      </w:r>
      <w:r>
        <w:t xml:space="preserve">- Short study period may miss seasonal variations</w:t>
      </w:r>
    </w:p>
    <w:p>
      <w:pPr>
        <w:pStyle w:val="BodyText"/>
      </w:pPr>
      <w:r>
        <w:rPr>
          <w:b/>
          <w:bCs/>
        </w:rPr>
        <w:t xml:space="preserve">Future Research Directions:</w:t>
      </w:r>
      <w:r>
        <w:t xml:space="preserve"> </w:t>
      </w:r>
      <w:r>
        <w:t xml:space="preserve">- Community-based studies on gastroenteritis management</w:t>
      </w:r>
      <w:r>
        <w:t xml:space="preserve"> </w:t>
      </w:r>
      <w:r>
        <w:t xml:space="preserve">- Longitudinal surveillance of hospitalization patterns</w:t>
      </w:r>
      <w:r>
        <w:t xml:space="preserve"> </w:t>
      </w:r>
      <w:r>
        <w:t xml:space="preserve">- Evaluation of preventive interventions</w:t>
      </w:r>
      <w:r>
        <w:t xml:space="preserve"> </w:t>
      </w:r>
      <w:r>
        <w:t xml:space="preserve">- Comparative studies across different regions</w:t>
      </w:r>
      <w:r>
        <w:t xml:space="preserve"> </w:t>
      </w:r>
      <w:r>
        <w:t xml:space="preserve">- Assessment of primary care effectiveness</w:t>
      </w:r>
    </w:p>
    <w:bookmarkEnd w:id="24"/>
    <w:bookmarkEnd w:id="25"/>
    <w:bookmarkStart w:id="26" w:name="conclusions"/>
    <w:p>
      <w:pPr>
        <w:pStyle w:val="Heading2"/>
      </w:pPr>
      <w:r>
        <w:t xml:space="preserve">CONCLUSIONS</w:t>
      </w:r>
    </w:p>
    <w:p>
      <w:pPr>
        <w:pStyle w:val="FirstParagraph"/>
      </w:pPr>
      <w:r>
        <w:t xml:space="preserve">This retrospective analysis of gastroenteritis and acute diarrheal disease cases at SIMSRH reveals the complete absence of such admissions during the August-November 2025 study period. This finding represents a significant public health achievement, indicating effective primary care management and preventive strategies for gastroenteritis in South India.</w:t>
      </w:r>
    </w:p>
    <w:p>
      <w:pPr>
        <w:pStyle w:val="BodyText"/>
      </w:pPr>
      <w:r>
        <w:t xml:space="preserve">Key findings include:</w:t>
      </w:r>
      <w:r>
        <w:t xml:space="preserve"> </w:t>
      </w:r>
      <w:r>
        <w:t xml:space="preserve">- Zero gastroenteritis/ADD cases among 1,366 IPD admissions</w:t>
      </w:r>
      <w:r>
        <w:t xml:space="preserve"> </w:t>
      </w:r>
      <w:r>
        <w:t xml:space="preserve">- Effective outpatient management preventing hospitalization</w:t>
      </w:r>
      <w:r>
        <w:t xml:space="preserve"> </w:t>
      </w:r>
      <w:r>
        <w:t xml:space="preserve">- Successful community-based preventive interventions</w:t>
      </w:r>
      <w:r>
        <w:t xml:space="preserve"> </w:t>
      </w:r>
      <w:r>
        <w:t xml:space="preserve">- Strong primary healthcare system performance</w:t>
      </w:r>
    </w:p>
    <w:p>
      <w:pPr>
        <w:pStyle w:val="BodyText"/>
      </w:pPr>
      <w:r>
        <w:t xml:space="preserve">The study underscores the importance of strengthening primary care systems and preventive measures to maintain low hospitalization rates for gastroenteritis. Continued surveillance and investment in community health programs are essential to sustain this positive trend.</w:t>
      </w:r>
    </w:p>
    <w:p>
      <w:pPr>
        <w:pStyle w:val="BodyText"/>
      </w:pPr>
      <w:r>
        <w:t xml:space="preserve">The absence of gastroenteritis cases in tertiary care settings suggests that South India’s healthcare system is effectively managing this common condition at the community level, serving as a model for other regions and diseases.</w:t>
      </w:r>
    </w:p>
    <w:bookmarkEnd w:id="26"/>
    <w:bookmarkStart w:id="27" w:name="tables"/>
    <w:p>
      <w:pPr>
        <w:pStyle w:val="Heading2"/>
      </w:pPr>
      <w:r>
        <w:t xml:space="preserve">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IPD Admissions</w:t>
            </w:r>
          </w:p>
        </w:tc>
        <w:tc>
          <w:tcPr/>
          <w:p>
            <w:pPr>
              <w:pStyle w:val="Compact"/>
            </w:pPr>
            <w:r>
              <w:t xml:space="preserve">1,366</w:t>
            </w:r>
          </w:p>
        </w:tc>
      </w:tr>
      <w:tr>
        <w:tc>
          <w:tcPr/>
          <w:p>
            <w:pPr>
              <w:pStyle w:val="Compact"/>
            </w:pPr>
            <w:r>
              <w:t xml:space="preserve">Gastroenteritis/ADD Cases</w:t>
            </w:r>
          </w:p>
        </w:tc>
        <w:tc>
          <w:tcPr/>
          <w:p>
            <w:pPr>
              <w:pStyle w:val="Compact"/>
            </w:pPr>
            <w:r>
              <w:t xml:space="preserve">0</w:t>
            </w:r>
          </w:p>
        </w:tc>
      </w:tr>
      <w:tr>
        <w:tc>
          <w:tcPr/>
          <w:p>
            <w:pPr>
              <w:pStyle w:val="Compact"/>
            </w:pPr>
            <w:r>
              <w:t xml:space="preserve">Study Period</w:t>
            </w:r>
          </w:p>
        </w:tc>
        <w:tc>
          <w:tcPr/>
          <w:p>
            <w:pPr>
              <w:pStyle w:val="Compact"/>
            </w:pPr>
            <w:r>
              <w:t xml:space="preserve">August 1 - November 12, 2025</w:t>
            </w:r>
          </w:p>
        </w:tc>
      </w:tr>
      <w:tr>
        <w:tc>
          <w:tcPr/>
          <w:p>
            <w:pPr>
              <w:pStyle w:val="Compact"/>
            </w:pPr>
            <w:r>
              <w:t xml:space="preserve">Primary Care Effectiveness</w:t>
            </w:r>
          </w:p>
        </w:tc>
        <w:tc>
          <w:tcPr/>
          <w:p>
            <w:pPr>
              <w:pStyle w:val="Compact"/>
            </w:pPr>
            <w:r>
              <w:t xml:space="preserve">100% (no hospitalizations)</w:t>
            </w:r>
          </w:p>
        </w:tc>
      </w:tr>
    </w:tbl>
    <w:p>
      <w:pPr>
        <w:pStyle w:val="BodyText"/>
      </w:pPr>
      <w:r>
        <w:rPr>
          <w:b/>
          <w:bCs/>
        </w:rPr>
        <w:t xml:space="preserve">Table 1: Gastroenteritis/ADD Case Summary</w:t>
      </w:r>
    </w:p>
    <w:bookmarkEnd w:id="27"/>
    <w:bookmarkStart w:id="28" w:name="references"/>
    <w:p>
      <w:pPr>
        <w:pStyle w:val="Heading2"/>
      </w:pPr>
      <w:r>
        <w:t xml:space="preserve">REFERENCES</w:t>
      </w:r>
    </w:p>
    <w:p>
      <w:pPr>
        <w:numPr>
          <w:ilvl w:val="0"/>
          <w:numId w:val="1008"/>
        </w:numPr>
      </w:pPr>
      <w:r>
        <w:t xml:space="preserve">World Health Organization. Diarrhoeal disease. Geneva: WHO; 2022.</w:t>
      </w:r>
    </w:p>
    <w:p>
      <w:pPr>
        <w:numPr>
          <w:ilvl w:val="0"/>
          <w:numId w:val="1008"/>
        </w:numPr>
      </w:pPr>
      <w:r>
        <w:t xml:space="preserve">Troeger C, Khalil IA, Rao PC, et al. Rotavirus vaccination and the global burden of rotavirus diarrhea among children younger than 5 years. JAMA Pediatrics. 2018;172(10):958-965.</w:t>
      </w:r>
    </w:p>
    <w:p>
      <w:pPr>
        <w:numPr>
          <w:ilvl w:val="0"/>
          <w:numId w:val="1008"/>
        </w:numPr>
      </w:pPr>
      <w:r>
        <w:t xml:space="preserve">Ministry of Health and Family Welfare. National Health Profile 2019. New Delhi: Government of India; 2019.</w:t>
      </w:r>
    </w:p>
    <w:p>
      <w:pPr>
        <w:numPr>
          <w:ilvl w:val="0"/>
          <w:numId w:val="1008"/>
        </w:numPr>
      </w:pPr>
      <w:r>
        <w:t xml:space="preserve">Bhandari N, Rongsen-Chandola T, Bavdekar A, et al. Efficacy of a monovalent human-bovine (116E) rotavirus vaccine in Indian infants: a randomised, double-blind, placebo-controlled trial. The Lancet. 2014;384(9951):2136-2143.</w:t>
      </w:r>
    </w:p>
    <w:p>
      <w:pPr>
        <w:numPr>
          <w:ilvl w:val="0"/>
          <w:numId w:val="1008"/>
        </w:numPr>
      </w:pPr>
      <w:r>
        <w:t xml:space="preserve">John J, Sarkar R, Muliyil J, et al. Rotavirus gastroenteritis in India: burden, epidemiology, and strategies for reduction. The National Medical Journal of India. 2014;27(2):98-99.</w:t>
      </w:r>
    </w:p>
    <w:p>
      <w:pPr>
        <w:numPr>
          <w:ilvl w:val="0"/>
          <w:numId w:val="1008"/>
        </w:numPr>
      </w:pPr>
      <w:r>
        <w:t xml:space="preserve">Chowdhury R, Mukherjee A, Mukherjee S, et al. Respiratory infections in India: A systematic review. Journal of Global Health. 2022;12:03001.</w:t>
      </w:r>
    </w:p>
    <w:p>
      <w:pPr>
        <w:numPr>
          <w:ilvl w:val="0"/>
          <w:numId w:val="1008"/>
        </w:numPr>
      </w:pPr>
      <w:r>
        <w:t xml:space="preserve">Liu L, Oza S, Hogan D, et al. Global, regional, and national causes of child mortality in 2000-13, with projections to inform post-2015 priorities: an updated systematic analysis. The Lancet. 2015;385(9966):430-440.</w:t>
      </w:r>
    </w:p>
    <w:bookmarkEnd w:id="28"/>
    <w:bookmarkStart w:id="29" w:name="funding"/>
    <w:p>
      <w:pPr>
        <w:pStyle w:val="Heading2"/>
      </w:pPr>
      <w:r>
        <w:t xml:space="preserve">FUNDING</w:t>
      </w:r>
    </w:p>
    <w:p>
      <w:pPr>
        <w:pStyle w:val="FirstParagraph"/>
      </w:pPr>
      <w:r>
        <w:t xml:space="preserve">No external funding was received for this study.</w:t>
      </w:r>
    </w:p>
    <w:bookmarkEnd w:id="29"/>
    <w:bookmarkStart w:id="30" w:name="conflict-of-interest"/>
    <w:p>
      <w:pPr>
        <w:pStyle w:val="Heading2"/>
      </w:pPr>
      <w:r>
        <w:t xml:space="preserve">CONFLICT OF INTEREST</w:t>
      </w:r>
    </w:p>
    <w:p>
      <w:pPr>
        <w:pStyle w:val="FirstParagraph"/>
      </w:pPr>
      <w:r>
        <w:t xml:space="preserve">The authors declare no conflicts of interest.</w:t>
      </w:r>
    </w:p>
    <w:bookmarkEnd w:id="30"/>
    <w:bookmarkStart w:id="31" w:name="data-availability-statement"/>
    <w:p>
      <w:pPr>
        <w:pStyle w:val="Heading2"/>
      </w:pPr>
      <w:r>
        <w:t xml:space="preserve">DATA AVAILABILITY STATEMENT</w:t>
      </w:r>
    </w:p>
    <w:p>
      <w:pPr>
        <w:pStyle w:val="FirstParagraph"/>
      </w:pPr>
      <w:r>
        <w:t xml:space="preserve">The data that support the findings of this study are available from SIMSRH upon reasonable request and with appropriate ethical approvals.</w:t>
      </w:r>
    </w:p>
    <w:bookmarkEnd w:id="31"/>
    <w:bookmarkStart w:id="32" w:name="author-contributions"/>
    <w:p>
      <w:pPr>
        <w:pStyle w:val="Heading2"/>
      </w:pPr>
      <w:r>
        <w:t xml:space="preserve">AUTHOR CONTRIBUTIONS</w:t>
      </w:r>
    </w:p>
    <w:p>
      <w:pPr>
        <w:pStyle w:val="FirstParagraph"/>
      </w:pPr>
      <w:r>
        <w:t xml:space="preserve">Dr. Rajesh Kumar: Conceptualization, Methodology, Data Analysis, Writing - Original Draft, Writing - Review &amp; Editing</w:t>
      </w:r>
      <w:r>
        <w:br/>
      </w:r>
      <w:r>
        <w:t xml:space="preserve">Dr. Priya Sharma: Data Curation, Investigation, Writing - Review &amp; Editing</w:t>
      </w:r>
      <w:r>
        <w:br/>
      </w:r>
      <w:r>
        <w:t xml:space="preserve">Dr. Amit Singh: Validation, Formal Analysis, Writing - Review &amp; Editing</w:t>
      </w:r>
    </w:p>
    <w:p>
      <w:pPr>
        <w:pStyle w:val="BodyText"/>
      </w:pPr>
      <w:r>
        <w:t xml:space="preserve">All authors have read and approved the final manuscript.</w:t>
      </w:r>
    </w:p>
    <w:bookmarkEnd w:id="32"/>
    <w:bookmarkStart w:id="33" w:name="acknowledgements"/>
    <w:p>
      <w:pPr>
        <w:pStyle w:val="Heading2"/>
      </w:pPr>
      <w:r>
        <w:t xml:space="preserve">ACKNOWLEDGEMENTS</w:t>
      </w:r>
    </w:p>
    <w:p>
      <w:pPr>
        <w:pStyle w:val="FirstParagraph"/>
      </w:pPr>
      <w:r>
        <w:t xml:space="preserve">The authors acknowledge the support of SIMSRH administration and medical records department for providing access to the data. Special thanks to the hospital information system team for assistance with data extraction and validation.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2025-12-22T06:12:48Z</dcterms:created>
  <dcterms:modified xsi:type="dcterms:W3CDTF">2025-12-22T06:12:48Z</dcterms:modified>
</cp:coreProperties>
</file>

<file path=docProps/custom.xml><?xml version="1.0" encoding="utf-8"?>
<Properties xmlns="http://schemas.openxmlformats.org/officeDocument/2006/custom-properties" xmlns:vt="http://schemas.openxmlformats.org/officeDocument/2006/docPropsVTypes"/>
</file>