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f0b2024d6973779316310eb2f9ef8c663a2e619"/>
    <w:p>
      <w:pPr>
        <w:pStyle w:val="Heading1"/>
      </w:pPr>
      <w:r>
        <w:t xml:space="preserve">Data Analysis Plan -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13" w:name="data-management-and-preparation"/>
    <w:p>
      <w:pPr>
        <w:pStyle w:val="Heading2"/>
      </w:pPr>
      <w:r>
        <w:t xml:space="preserve">1. Data Management and Preparation</w:t>
      </w:r>
    </w:p>
    <w:bookmarkStart w:id="9" w:name="data-entry-and-validation"/>
    <w:p>
      <w:pPr>
        <w:pStyle w:val="Heading3"/>
      </w:pPr>
      <w:r>
        <w:t xml:space="preserve">1.1 Data Entry and Validation</w:t>
      </w:r>
    </w:p>
    <w:p>
      <w:pPr>
        <w:pStyle w:val="Compact"/>
        <w:numPr>
          <w:ilvl w:val="0"/>
          <w:numId w:val="1001"/>
        </w:numPr>
      </w:pPr>
      <w:r>
        <w:t xml:space="preserve">Double data entry system using REDCap or similar electronic data capture system</w:t>
      </w:r>
    </w:p>
    <w:p>
      <w:pPr>
        <w:pStyle w:val="Compact"/>
        <w:numPr>
          <w:ilvl w:val="0"/>
          <w:numId w:val="1001"/>
        </w:numPr>
      </w:pPr>
      <w:r>
        <w:t xml:space="preserve">Range checks and logical validation rules implemented</w:t>
      </w:r>
    </w:p>
    <w:p>
      <w:pPr>
        <w:pStyle w:val="Compact"/>
        <w:numPr>
          <w:ilvl w:val="0"/>
          <w:numId w:val="1001"/>
        </w:numPr>
      </w:pPr>
      <w:r>
        <w:t xml:space="preserve">Skip patterns and conditional logic for complex questionnaires</w:t>
      </w:r>
    </w:p>
    <w:p>
      <w:pPr>
        <w:pStyle w:val="Compact"/>
        <w:numPr>
          <w:ilvl w:val="0"/>
          <w:numId w:val="1001"/>
        </w:numPr>
      </w:pPr>
      <w:r>
        <w:t xml:space="preserve">Automated data quality checks</w:t>
      </w:r>
    </w:p>
    <w:bookmarkEnd w:id="9"/>
    <w:bookmarkStart w:id="10" w:name="data-cleaning"/>
    <w:p>
      <w:pPr>
        <w:pStyle w:val="Heading3"/>
      </w:pPr>
      <w:r>
        <w:t xml:space="preserve">1.2 Data Cleaning</w:t>
      </w:r>
    </w:p>
    <w:p>
      <w:pPr>
        <w:pStyle w:val="Compact"/>
        <w:numPr>
          <w:ilvl w:val="0"/>
          <w:numId w:val="1002"/>
        </w:numPr>
      </w:pPr>
      <w:r>
        <w:t xml:space="preserve">Identification and correction of outliers</w:t>
      </w:r>
    </w:p>
    <w:p>
      <w:pPr>
        <w:pStyle w:val="Compact"/>
        <w:numPr>
          <w:ilvl w:val="0"/>
          <w:numId w:val="1002"/>
        </w:numPr>
      </w:pPr>
      <w:r>
        <w:t xml:space="preserve">Missing data assessment and handling</w:t>
      </w:r>
    </w:p>
    <w:p>
      <w:pPr>
        <w:pStyle w:val="Compact"/>
        <w:numPr>
          <w:ilvl w:val="0"/>
          <w:numId w:val="1002"/>
        </w:numPr>
      </w:pPr>
      <w:r>
        <w:t xml:space="preserve">Consistency checks across related variables</w:t>
      </w:r>
    </w:p>
    <w:p>
      <w:pPr>
        <w:pStyle w:val="Compact"/>
        <w:numPr>
          <w:ilvl w:val="0"/>
          <w:numId w:val="1002"/>
        </w:numPr>
      </w:pPr>
      <w:r>
        <w:t xml:space="preserve">Data transformation and recoding as needed</w:t>
      </w:r>
    </w:p>
    <w:bookmarkEnd w:id="10"/>
    <w:bookmarkStart w:id="11" w:name="database-structure"/>
    <w:p>
      <w:pPr>
        <w:pStyle w:val="Heading3"/>
      </w:pPr>
      <w:r>
        <w:t xml:space="preserve">1.3 Database Structure</w:t>
      </w:r>
    </w:p>
    <w:p>
      <w:pPr>
        <w:pStyle w:val="Compact"/>
        <w:numPr>
          <w:ilvl w:val="0"/>
          <w:numId w:val="1003"/>
        </w:numPr>
      </w:pPr>
      <w:r>
        <w:t xml:space="preserve">Unique participant identification system</w:t>
      </w:r>
    </w:p>
    <w:p>
      <w:pPr>
        <w:pStyle w:val="Compact"/>
        <w:numPr>
          <w:ilvl w:val="0"/>
          <w:numId w:val="1003"/>
        </w:numPr>
      </w:pPr>
      <w:r>
        <w:t xml:space="preserve">Modular database design (sociodemographic, clinical, laboratory, spatial data)</w:t>
      </w:r>
    </w:p>
    <w:p>
      <w:pPr>
        <w:pStyle w:val="Compact"/>
        <w:numPr>
          <w:ilvl w:val="0"/>
          <w:numId w:val="1003"/>
        </w:numPr>
      </w:pPr>
      <w:r>
        <w:t xml:space="preserve">Secure backup and version control</w:t>
      </w:r>
    </w:p>
    <w:p>
      <w:pPr>
        <w:pStyle w:val="Compact"/>
        <w:numPr>
          <w:ilvl w:val="0"/>
          <w:numId w:val="1003"/>
        </w:numPr>
      </w:pPr>
      <w:r>
        <w:t xml:space="preserve">Audit trails for all data modifications</w:t>
      </w:r>
    </w:p>
    <w:bookmarkEnd w:id="11"/>
    <w:bookmarkStart w:id="12" w:name="missing-data-handling"/>
    <w:p>
      <w:pPr>
        <w:pStyle w:val="Heading3"/>
      </w:pPr>
      <w:r>
        <w:t xml:space="preserve">1.4 Missing Data Handling</w:t>
      </w:r>
    </w:p>
    <w:p>
      <w:pPr>
        <w:pStyle w:val="Compact"/>
        <w:numPr>
          <w:ilvl w:val="0"/>
          <w:numId w:val="1004"/>
        </w:numPr>
      </w:pPr>
      <w:r>
        <w:t xml:space="preserve">Assessment of missing data patterns (MCAR, MAR, MNAR)</w:t>
      </w:r>
    </w:p>
    <w:p>
      <w:pPr>
        <w:pStyle w:val="Compact"/>
        <w:numPr>
          <w:ilvl w:val="0"/>
          <w:numId w:val="1004"/>
        </w:numPr>
      </w:pPr>
      <w:r>
        <w:t xml:space="preserve">Multiple imputation for missing values where appropriate</w:t>
      </w:r>
    </w:p>
    <w:p>
      <w:pPr>
        <w:pStyle w:val="Compact"/>
        <w:numPr>
          <w:ilvl w:val="0"/>
          <w:numId w:val="1004"/>
        </w:numPr>
      </w:pPr>
      <w:r>
        <w:t xml:space="preserve">Complete case analysis for sensitivity analyses</w:t>
      </w:r>
    </w:p>
    <w:p>
      <w:pPr>
        <w:pStyle w:val="Compact"/>
        <w:numPr>
          <w:ilvl w:val="0"/>
          <w:numId w:val="1004"/>
        </w:numPr>
      </w:pPr>
      <w:r>
        <w:t xml:space="preserve">Documentation of missing data assumptions</w:t>
      </w:r>
    </w:p>
    <w:bookmarkEnd w:id="12"/>
    <w:bookmarkEnd w:id="13"/>
    <w:bookmarkStart w:id="17" w:name="sample-size-and-power-calculations"/>
    <w:p>
      <w:pPr>
        <w:pStyle w:val="Heading2"/>
      </w:pPr>
      <w:r>
        <w:t xml:space="preserve">2. Sample Size and Power Calculations</w:t>
      </w:r>
    </w:p>
    <w:bookmarkStart w:id="14" w:name="primary-outcomes"/>
    <w:p>
      <w:pPr>
        <w:pStyle w:val="Heading3"/>
      </w:pPr>
      <w:r>
        <w:t xml:space="preserve">2.1 Primary Outcomes</w:t>
      </w:r>
    </w:p>
    <w:p>
      <w:pPr>
        <w:pStyle w:val="Compact"/>
        <w:numPr>
          <w:ilvl w:val="0"/>
          <w:numId w:val="1005"/>
        </w:numPr>
      </w:pPr>
      <w:r>
        <w:t xml:space="preserve">Prevalence of allergic diseases: Expected 20%, precision ±5%, 95% CI</w:t>
      </w:r>
    </w:p>
    <w:p>
      <w:pPr>
        <w:pStyle w:val="Compact"/>
        <w:numPr>
          <w:ilvl w:val="0"/>
          <w:numId w:val="1005"/>
        </w:numPr>
      </w:pPr>
      <w:r>
        <w:t xml:space="preserve">Required sample: 1,000 participants for main survey</w:t>
      </w:r>
    </w:p>
    <w:bookmarkEnd w:id="14"/>
    <w:bookmarkStart w:id="15" w:name="secondary-outcomes"/>
    <w:p>
      <w:pPr>
        <w:pStyle w:val="Heading3"/>
      </w:pPr>
      <w:r>
        <w:t xml:space="preserve">2.2 Secondary Outcomes</w:t>
      </w:r>
    </w:p>
    <w:p>
      <w:pPr>
        <w:pStyle w:val="Compact"/>
        <w:numPr>
          <w:ilvl w:val="0"/>
          <w:numId w:val="1006"/>
        </w:numPr>
      </w:pPr>
      <w:r>
        <w:t xml:space="preserve">Microbiome analysis: 100 cases + 100 controls (80% power, OR=2.0)</w:t>
      </w:r>
    </w:p>
    <w:p>
      <w:pPr>
        <w:pStyle w:val="Compact"/>
        <w:numPr>
          <w:ilvl w:val="0"/>
          <w:numId w:val="1006"/>
        </w:numPr>
      </w:pPr>
      <w:r>
        <w:t xml:space="preserve">Microplastic analysis: 100 cases + 100 controls (80% power, OR=2.0)</w:t>
      </w:r>
    </w:p>
    <w:bookmarkEnd w:id="15"/>
    <w:bookmarkStart w:id="16" w:name="subgroup-analyses"/>
    <w:p>
      <w:pPr>
        <w:pStyle w:val="Heading3"/>
      </w:pPr>
      <w:r>
        <w:t xml:space="preserve">2.3 Subgroup Analyses</w:t>
      </w:r>
    </w:p>
    <w:p>
      <w:pPr>
        <w:pStyle w:val="Compact"/>
        <w:numPr>
          <w:ilvl w:val="0"/>
          <w:numId w:val="1007"/>
        </w:numPr>
      </w:pPr>
      <w:r>
        <w:t xml:space="preserve">Adequate power for age, gender, and urban/rural stratifications</w:t>
      </w:r>
    </w:p>
    <w:p>
      <w:pPr>
        <w:pStyle w:val="Compact"/>
        <w:numPr>
          <w:ilvl w:val="0"/>
          <w:numId w:val="1007"/>
        </w:numPr>
      </w:pPr>
      <w:r>
        <w:t xml:space="preserve">Minimum detectable effect sizes calculated for key associations</w:t>
      </w:r>
    </w:p>
    <w:bookmarkEnd w:id="16"/>
    <w:bookmarkEnd w:id="17"/>
    <w:bookmarkStart w:id="21" w:name="descriptive-analysis"/>
    <w:p>
      <w:pPr>
        <w:pStyle w:val="Heading2"/>
      </w:pPr>
      <w:r>
        <w:t xml:space="preserve">3. Descriptive Analysis</w:t>
      </w:r>
    </w:p>
    <w:bookmarkStart w:id="18" w:name="sociodemographic-characteristics"/>
    <w:p>
      <w:pPr>
        <w:pStyle w:val="Heading3"/>
      </w:pPr>
      <w:r>
        <w:t xml:space="preserve">3.1 Sociodemographic Characteristics</w:t>
      </w:r>
    </w:p>
    <w:p>
      <w:pPr>
        <w:pStyle w:val="Compact"/>
        <w:numPr>
          <w:ilvl w:val="0"/>
          <w:numId w:val="1008"/>
        </w:numPr>
      </w:pPr>
      <w:r>
        <w:t xml:space="preserve">Frequency distributions for categorical variables</w:t>
      </w:r>
    </w:p>
    <w:p>
      <w:pPr>
        <w:pStyle w:val="Compact"/>
        <w:numPr>
          <w:ilvl w:val="0"/>
          <w:numId w:val="1008"/>
        </w:numPr>
      </w:pPr>
      <w:r>
        <w:t xml:space="preserve">Means, medians, standard deviations for continuous variables</w:t>
      </w:r>
    </w:p>
    <w:p>
      <w:pPr>
        <w:pStyle w:val="Compact"/>
        <w:numPr>
          <w:ilvl w:val="0"/>
          <w:numId w:val="1008"/>
        </w:numPr>
      </w:pPr>
      <w:r>
        <w:t xml:space="preserve">Stratification by age groups, gender, urban/rural residence</w:t>
      </w:r>
    </w:p>
    <w:p>
      <w:pPr>
        <w:pStyle w:val="Compact"/>
        <w:numPr>
          <w:ilvl w:val="0"/>
          <w:numId w:val="1008"/>
        </w:numPr>
      </w:pPr>
      <w:r>
        <w:t xml:space="preserve">Socioeconomic status distribution using appropriate indices</w:t>
      </w:r>
    </w:p>
    <w:bookmarkEnd w:id="18"/>
    <w:bookmarkStart w:id="19" w:name="allergy-prevalence-and-distribution"/>
    <w:p>
      <w:pPr>
        <w:pStyle w:val="Heading3"/>
      </w:pPr>
      <w:r>
        <w:t xml:space="preserve">3.2 Allergy Prevalence and Distribution</w:t>
      </w:r>
    </w:p>
    <w:p>
      <w:pPr>
        <w:pStyle w:val="Compact"/>
        <w:numPr>
          <w:ilvl w:val="0"/>
          <w:numId w:val="1009"/>
        </w:numPr>
      </w:pPr>
      <w:r>
        <w:t xml:space="preserve">Overall prevalence with 95% confidence intervals</w:t>
      </w:r>
    </w:p>
    <w:p>
      <w:pPr>
        <w:pStyle w:val="Compact"/>
        <w:numPr>
          <w:ilvl w:val="0"/>
          <w:numId w:val="1009"/>
        </w:numPr>
      </w:pPr>
      <w:r>
        <w:t xml:space="preserve">Age-specific, gender-specific, and location-specific prevalence</w:t>
      </w:r>
    </w:p>
    <w:p>
      <w:pPr>
        <w:pStyle w:val="Compact"/>
        <w:numPr>
          <w:ilvl w:val="0"/>
          <w:numId w:val="1009"/>
        </w:numPr>
      </w:pPr>
      <w:r>
        <w:t xml:space="preserve">Phenotype distribution (asthma, rhinitis, dermatitis, etc.)</w:t>
      </w:r>
    </w:p>
    <w:p>
      <w:pPr>
        <w:pStyle w:val="Compact"/>
        <w:numPr>
          <w:ilvl w:val="0"/>
          <w:numId w:val="1009"/>
        </w:numPr>
      </w:pPr>
      <w:r>
        <w:t xml:space="preserve">Severity distribution using standardized criteria</w:t>
      </w:r>
    </w:p>
    <w:bookmarkEnd w:id="19"/>
    <w:bookmarkStart w:id="20" w:name="clinical-and-laboratory-findings"/>
    <w:p>
      <w:pPr>
        <w:pStyle w:val="Heading3"/>
      </w:pPr>
      <w:r>
        <w:t xml:space="preserve">3.3 Clinical and Laboratory Findings</w:t>
      </w:r>
    </w:p>
    <w:p>
      <w:pPr>
        <w:pStyle w:val="Compact"/>
        <w:numPr>
          <w:ilvl w:val="0"/>
          <w:numId w:val="1010"/>
        </w:numPr>
      </w:pPr>
      <w:r>
        <w:t xml:space="preserve">Distribution of skin prick test results</w:t>
      </w:r>
    </w:p>
    <w:p>
      <w:pPr>
        <w:pStyle w:val="Compact"/>
        <w:numPr>
          <w:ilvl w:val="0"/>
          <w:numId w:val="1010"/>
        </w:numPr>
      </w:pPr>
      <w:r>
        <w:t xml:space="preserve">Peak flow measurements and interpretations</w:t>
      </w:r>
    </w:p>
    <w:p>
      <w:pPr>
        <w:pStyle w:val="Compact"/>
        <w:numPr>
          <w:ilvl w:val="0"/>
          <w:numId w:val="1010"/>
        </w:numPr>
      </w:pPr>
      <w:r>
        <w:t xml:space="preserve">Anthropometric measurements and BMI categories</w:t>
      </w:r>
    </w:p>
    <w:p>
      <w:pPr>
        <w:pStyle w:val="Compact"/>
        <w:numPr>
          <w:ilvl w:val="0"/>
          <w:numId w:val="1010"/>
        </w:numPr>
      </w:pPr>
      <w:r>
        <w:t xml:space="preserve">Comorbidity patterns</w:t>
      </w:r>
    </w:p>
    <w:bookmarkEnd w:id="20"/>
    <w:bookmarkEnd w:id="21"/>
    <w:bookmarkStart w:id="25" w:name="bivariate-analysis"/>
    <w:p>
      <w:pPr>
        <w:pStyle w:val="Heading2"/>
      </w:pPr>
      <w:r>
        <w:t xml:space="preserve">4. Bivariate Analysis</w:t>
      </w:r>
    </w:p>
    <w:bookmarkStart w:id="22" w:name="categorical-variables"/>
    <w:p>
      <w:pPr>
        <w:pStyle w:val="Heading3"/>
      </w:pPr>
      <w:r>
        <w:t xml:space="preserve">4.1 Categorical Variables</w:t>
      </w:r>
    </w:p>
    <w:p>
      <w:pPr>
        <w:pStyle w:val="Compact"/>
        <w:numPr>
          <w:ilvl w:val="0"/>
          <w:numId w:val="1011"/>
        </w:numPr>
      </w:pPr>
      <w:r>
        <w:t xml:space="preserve">Chi-square tests for association</w:t>
      </w:r>
    </w:p>
    <w:p>
      <w:pPr>
        <w:pStyle w:val="Compact"/>
        <w:numPr>
          <w:ilvl w:val="0"/>
          <w:numId w:val="1011"/>
        </w:numPr>
      </w:pPr>
      <w:r>
        <w:t xml:space="preserve">Fisher’s exact test for small cell sizes</w:t>
      </w:r>
    </w:p>
    <w:p>
      <w:pPr>
        <w:pStyle w:val="Compact"/>
        <w:numPr>
          <w:ilvl w:val="0"/>
          <w:numId w:val="1011"/>
        </w:numPr>
      </w:pPr>
      <w:r>
        <w:t xml:space="preserve">Mantel-Haenszel test for stratified analyses</w:t>
      </w:r>
    </w:p>
    <w:p>
      <w:pPr>
        <w:pStyle w:val="Compact"/>
        <w:numPr>
          <w:ilvl w:val="0"/>
          <w:numId w:val="1011"/>
        </w:numPr>
      </w:pPr>
      <w:r>
        <w:t xml:space="preserve">Odds ratios with 95% confidence intervals</w:t>
      </w:r>
    </w:p>
    <w:bookmarkEnd w:id="22"/>
    <w:bookmarkStart w:id="23" w:name="continuous-variables"/>
    <w:p>
      <w:pPr>
        <w:pStyle w:val="Heading3"/>
      </w:pPr>
      <w:r>
        <w:t xml:space="preserve">4.2 Continuous Variables</w:t>
      </w:r>
    </w:p>
    <w:p>
      <w:pPr>
        <w:pStyle w:val="Compact"/>
        <w:numPr>
          <w:ilvl w:val="0"/>
          <w:numId w:val="1012"/>
        </w:numPr>
      </w:pPr>
      <w:r>
        <w:t xml:space="preserve">Student’s t-test for two groups</w:t>
      </w:r>
    </w:p>
    <w:p>
      <w:pPr>
        <w:pStyle w:val="Compact"/>
        <w:numPr>
          <w:ilvl w:val="0"/>
          <w:numId w:val="1012"/>
        </w:numPr>
      </w:pPr>
      <w:r>
        <w:t xml:space="preserve">ANOVA for multiple groups</w:t>
      </w:r>
    </w:p>
    <w:p>
      <w:pPr>
        <w:pStyle w:val="Compact"/>
        <w:numPr>
          <w:ilvl w:val="0"/>
          <w:numId w:val="1012"/>
        </w:numPr>
      </w:pPr>
      <w:r>
        <w:t xml:space="preserve">Correlation analysis (Pearson/Spearman)</w:t>
      </w:r>
    </w:p>
    <w:p>
      <w:pPr>
        <w:pStyle w:val="Compact"/>
        <w:numPr>
          <w:ilvl w:val="0"/>
          <w:numId w:val="1012"/>
        </w:numPr>
      </w:pPr>
      <w:r>
        <w:t xml:space="preserve">Non-parametric tests (Mann-Whitney, Kruskal-Wallis) where appropriate</w:t>
      </w:r>
    </w:p>
    <w:bookmarkEnd w:id="23"/>
    <w:bookmarkStart w:id="24" w:name="risk-factor-analysis"/>
    <w:p>
      <w:pPr>
        <w:pStyle w:val="Heading3"/>
      </w:pPr>
      <w:r>
        <w:t xml:space="preserve">4.3 Risk Factor Analysis</w:t>
      </w:r>
    </w:p>
    <w:p>
      <w:pPr>
        <w:pStyle w:val="Compact"/>
        <w:numPr>
          <w:ilvl w:val="0"/>
          <w:numId w:val="1013"/>
        </w:numPr>
      </w:pPr>
      <w:r>
        <w:t xml:space="preserve">Crude odds ratios for potential risk factors</w:t>
      </w:r>
    </w:p>
    <w:p>
      <w:pPr>
        <w:pStyle w:val="Compact"/>
        <w:numPr>
          <w:ilvl w:val="0"/>
          <w:numId w:val="1013"/>
        </w:numPr>
      </w:pPr>
      <w:r>
        <w:t xml:space="preserve">Stratified analyses to assess confounding</w:t>
      </w:r>
    </w:p>
    <w:p>
      <w:pPr>
        <w:pStyle w:val="Compact"/>
        <w:numPr>
          <w:ilvl w:val="0"/>
          <w:numId w:val="1013"/>
        </w:numPr>
      </w:pPr>
      <w:r>
        <w:t xml:space="preserve">Interaction assessment using stratified analyses</w:t>
      </w:r>
    </w:p>
    <w:bookmarkEnd w:id="24"/>
    <w:bookmarkEnd w:id="25"/>
    <w:bookmarkStart w:id="29" w:name="multivariate-analysis"/>
    <w:p>
      <w:pPr>
        <w:pStyle w:val="Heading2"/>
      </w:pPr>
      <w:r>
        <w:t xml:space="preserve">5. Multivariate Analysis</w:t>
      </w:r>
    </w:p>
    <w:bookmarkStart w:id="26" w:name="logistic-regression-models"/>
    <w:p>
      <w:pPr>
        <w:pStyle w:val="Heading3"/>
      </w:pPr>
      <w:r>
        <w:t xml:space="preserve">5.1 Logistic Regression Models</w:t>
      </w:r>
    </w:p>
    <w:p>
      <w:pPr>
        <w:pStyle w:val="Compact"/>
        <w:numPr>
          <w:ilvl w:val="0"/>
          <w:numId w:val="1014"/>
        </w:numPr>
      </w:pPr>
      <w:r>
        <w:t xml:space="preserve">Binary logistic regression for allergy outcomes</w:t>
      </w:r>
    </w:p>
    <w:p>
      <w:pPr>
        <w:pStyle w:val="Compact"/>
        <w:numPr>
          <w:ilvl w:val="0"/>
          <w:numId w:val="1014"/>
        </w:numPr>
      </w:pPr>
      <w:r>
        <w:t xml:space="preserve">Multinomial logistic regression for phenotype classification</w:t>
      </w:r>
    </w:p>
    <w:p>
      <w:pPr>
        <w:pStyle w:val="Compact"/>
        <w:numPr>
          <w:ilvl w:val="0"/>
          <w:numId w:val="1014"/>
        </w:numPr>
      </w:pPr>
      <w:r>
        <w:t xml:space="preserve">Stepwise selection procedures with theoretical justification</w:t>
      </w:r>
    </w:p>
    <w:p>
      <w:pPr>
        <w:pStyle w:val="Compact"/>
        <w:numPr>
          <w:ilvl w:val="0"/>
          <w:numId w:val="1014"/>
        </w:numPr>
      </w:pPr>
      <w:r>
        <w:t xml:space="preserve">Assessment of model fit (Hosmer-Lemeshow test, AUC)</w:t>
      </w:r>
    </w:p>
    <w:bookmarkEnd w:id="26"/>
    <w:bookmarkStart w:id="27" w:name="confounding-and-effect-modification"/>
    <w:p>
      <w:pPr>
        <w:pStyle w:val="Heading3"/>
      </w:pPr>
      <w:r>
        <w:t xml:space="preserve">5.2 Confounding and Effect Modification</w:t>
      </w:r>
    </w:p>
    <w:p>
      <w:pPr>
        <w:pStyle w:val="Compact"/>
        <w:numPr>
          <w:ilvl w:val="0"/>
          <w:numId w:val="1015"/>
        </w:numPr>
      </w:pPr>
      <w:r>
        <w:t xml:space="preserve">Directed acyclic graphs (DAGs) for variable selection</w:t>
      </w:r>
    </w:p>
    <w:p>
      <w:pPr>
        <w:pStyle w:val="Compact"/>
        <w:numPr>
          <w:ilvl w:val="0"/>
          <w:numId w:val="1015"/>
        </w:numPr>
      </w:pPr>
      <w:r>
        <w:t xml:space="preserve">Change-in-estimate criterion for confounder identification</w:t>
      </w:r>
    </w:p>
    <w:p>
      <w:pPr>
        <w:pStyle w:val="Compact"/>
        <w:numPr>
          <w:ilvl w:val="0"/>
          <w:numId w:val="1015"/>
        </w:numPr>
      </w:pPr>
      <w:r>
        <w:t xml:space="preserve">Stratified analyses for effect modification</w:t>
      </w:r>
    </w:p>
    <w:p>
      <w:pPr>
        <w:pStyle w:val="Compact"/>
        <w:numPr>
          <w:ilvl w:val="0"/>
          <w:numId w:val="1015"/>
        </w:numPr>
      </w:pPr>
      <w:r>
        <w:t xml:space="preserve">Interaction terms in regression models</w:t>
      </w:r>
    </w:p>
    <w:bookmarkEnd w:id="27"/>
    <w:bookmarkStart w:id="28" w:name="model-building-strategy"/>
    <w:p>
      <w:pPr>
        <w:pStyle w:val="Heading3"/>
      </w:pPr>
      <w:r>
        <w:t xml:space="preserve">5.3 Model Building Strategy</w:t>
      </w:r>
    </w:p>
    <w:p>
      <w:pPr>
        <w:pStyle w:val="Compact"/>
        <w:numPr>
          <w:ilvl w:val="0"/>
          <w:numId w:val="1016"/>
        </w:numPr>
      </w:pPr>
      <w:r>
        <w:t xml:space="preserve">Conceptual framework-based variable selection</w:t>
      </w:r>
    </w:p>
    <w:p>
      <w:pPr>
        <w:pStyle w:val="Compact"/>
        <w:numPr>
          <w:ilvl w:val="0"/>
          <w:numId w:val="1016"/>
        </w:numPr>
      </w:pPr>
      <w:r>
        <w:t xml:space="preserve">Assessment of multicollinearity (VIF &lt; 5)</w:t>
      </w:r>
    </w:p>
    <w:p>
      <w:pPr>
        <w:pStyle w:val="Compact"/>
        <w:numPr>
          <w:ilvl w:val="0"/>
          <w:numId w:val="1016"/>
        </w:numPr>
      </w:pPr>
      <w:r>
        <w:t xml:space="preserve">Model diagnostics and validation</w:t>
      </w:r>
    </w:p>
    <w:p>
      <w:pPr>
        <w:pStyle w:val="Compact"/>
        <w:numPr>
          <w:ilvl w:val="0"/>
          <w:numId w:val="1016"/>
        </w:numPr>
      </w:pPr>
      <w:r>
        <w:t xml:space="preserve">Internal validation using bootstrap methods</w:t>
      </w:r>
    </w:p>
    <w:bookmarkEnd w:id="28"/>
    <w:bookmarkEnd w:id="29"/>
    <w:bookmarkStart w:id="33" w:name="microbiome-data-analysis"/>
    <w:p>
      <w:pPr>
        <w:pStyle w:val="Heading2"/>
      </w:pPr>
      <w:r>
        <w:t xml:space="preserve">6. Microbiome Data Analysis</w:t>
      </w:r>
    </w:p>
    <w:bookmarkStart w:id="30" w:name="sequence-processing"/>
    <w:p>
      <w:pPr>
        <w:pStyle w:val="Heading3"/>
      </w:pPr>
      <w:r>
        <w:t xml:space="preserve">6.1 Sequence Processing</w:t>
      </w:r>
    </w:p>
    <w:p>
      <w:pPr>
        <w:pStyle w:val="Compact"/>
        <w:numPr>
          <w:ilvl w:val="0"/>
          <w:numId w:val="1017"/>
        </w:numPr>
      </w:pPr>
      <w:r>
        <w:t xml:space="preserve">Quality filtering and trimming using QIIME2 or similar</w:t>
      </w:r>
    </w:p>
    <w:p>
      <w:pPr>
        <w:pStyle w:val="Compact"/>
        <w:numPr>
          <w:ilvl w:val="0"/>
          <w:numId w:val="1017"/>
        </w:numPr>
      </w:pPr>
      <w:r>
        <w:t xml:space="preserve">OTU clustering or ASV identification</w:t>
      </w:r>
    </w:p>
    <w:p>
      <w:pPr>
        <w:pStyle w:val="Compact"/>
        <w:numPr>
          <w:ilvl w:val="0"/>
          <w:numId w:val="1017"/>
        </w:numPr>
      </w:pPr>
      <w:r>
        <w:t xml:space="preserve">Taxonomic classification using SILVA/Greengenes databases</w:t>
      </w:r>
    </w:p>
    <w:p>
      <w:pPr>
        <w:pStyle w:val="Compact"/>
        <w:numPr>
          <w:ilvl w:val="0"/>
          <w:numId w:val="1017"/>
        </w:numPr>
      </w:pPr>
      <w:r>
        <w:t xml:space="preserve">Rarefaction analysis for normalization</w:t>
      </w:r>
    </w:p>
    <w:bookmarkEnd w:id="30"/>
    <w:bookmarkStart w:id="31" w:name="diversity-analysis"/>
    <w:p>
      <w:pPr>
        <w:pStyle w:val="Heading3"/>
      </w:pPr>
      <w:r>
        <w:t xml:space="preserve">6.2 Diversity Analysis</w:t>
      </w:r>
    </w:p>
    <w:p>
      <w:pPr>
        <w:pStyle w:val="Compact"/>
        <w:numPr>
          <w:ilvl w:val="0"/>
          <w:numId w:val="1018"/>
        </w:numPr>
      </w:pPr>
      <w:r>
        <w:t xml:space="preserve">Alpha diversity metrics (Shannon, Simpson, Chao1)</w:t>
      </w:r>
    </w:p>
    <w:p>
      <w:pPr>
        <w:pStyle w:val="Compact"/>
        <w:numPr>
          <w:ilvl w:val="0"/>
          <w:numId w:val="1018"/>
        </w:numPr>
      </w:pPr>
      <w:r>
        <w:t xml:space="preserve">Beta diversity analysis (Bray-Curtis, UniFrac distances)</w:t>
      </w:r>
    </w:p>
    <w:p>
      <w:pPr>
        <w:pStyle w:val="Compact"/>
        <w:numPr>
          <w:ilvl w:val="0"/>
          <w:numId w:val="1018"/>
        </w:numPr>
      </w:pPr>
      <w:r>
        <w:t xml:space="preserve">PERMANOVA for group differences</w:t>
      </w:r>
    </w:p>
    <w:p>
      <w:pPr>
        <w:pStyle w:val="Compact"/>
        <w:numPr>
          <w:ilvl w:val="0"/>
          <w:numId w:val="1018"/>
        </w:numPr>
      </w:pPr>
      <w:r>
        <w:t xml:space="preserve">Differential abundance testing (ANCOM, DESeq2)</w:t>
      </w:r>
    </w:p>
    <w:bookmarkEnd w:id="31"/>
    <w:bookmarkStart w:id="32" w:name="association-analysis"/>
    <w:p>
      <w:pPr>
        <w:pStyle w:val="Heading3"/>
      </w:pPr>
      <w:r>
        <w:t xml:space="preserve">6.3 Association Analysis</w:t>
      </w:r>
    </w:p>
    <w:p>
      <w:pPr>
        <w:pStyle w:val="Compact"/>
        <w:numPr>
          <w:ilvl w:val="0"/>
          <w:numId w:val="1019"/>
        </w:numPr>
      </w:pPr>
      <w:r>
        <w:t xml:space="preserve">Correlation between microbial taxa and allergy outcomes</w:t>
      </w:r>
    </w:p>
    <w:p>
      <w:pPr>
        <w:pStyle w:val="Compact"/>
        <w:numPr>
          <w:ilvl w:val="0"/>
          <w:numId w:val="1019"/>
        </w:numPr>
      </w:pPr>
      <w:r>
        <w:t xml:space="preserve">Machine learning approaches for microbiome signatures</w:t>
      </w:r>
    </w:p>
    <w:p>
      <w:pPr>
        <w:pStyle w:val="Compact"/>
        <w:numPr>
          <w:ilvl w:val="0"/>
          <w:numId w:val="1019"/>
        </w:numPr>
      </w:pPr>
      <w:r>
        <w:t xml:space="preserve">Functional pathway analysis using PICRUSt or similar</w:t>
      </w:r>
    </w:p>
    <w:p>
      <w:pPr>
        <w:pStyle w:val="Compact"/>
        <w:numPr>
          <w:ilvl w:val="0"/>
          <w:numId w:val="1019"/>
        </w:numPr>
      </w:pPr>
      <w:r>
        <w:t xml:space="preserve">Network analysis for microbial interactions</w:t>
      </w:r>
    </w:p>
    <w:bookmarkEnd w:id="32"/>
    <w:bookmarkEnd w:id="33"/>
    <w:bookmarkStart w:id="37" w:name="microplastic-analysis"/>
    <w:p>
      <w:pPr>
        <w:pStyle w:val="Heading2"/>
      </w:pPr>
      <w:r>
        <w:t xml:space="preserve">7. Microplastic Analysis</w:t>
      </w:r>
    </w:p>
    <w:bookmarkStart w:id="34" w:name="quantification-methods"/>
    <w:p>
      <w:pPr>
        <w:pStyle w:val="Heading3"/>
      </w:pPr>
      <w:r>
        <w:t xml:space="preserve">7.1 Quantification Methods</w:t>
      </w:r>
    </w:p>
    <w:p>
      <w:pPr>
        <w:pStyle w:val="Compact"/>
        <w:numPr>
          <w:ilvl w:val="0"/>
          <w:numId w:val="1020"/>
        </w:numPr>
      </w:pPr>
      <w:r>
        <w:t xml:space="preserve">Particle size distribution analysis</w:t>
      </w:r>
    </w:p>
    <w:p>
      <w:pPr>
        <w:pStyle w:val="Compact"/>
        <w:numPr>
          <w:ilvl w:val="0"/>
          <w:numId w:val="1020"/>
        </w:numPr>
      </w:pPr>
      <w:r>
        <w:t xml:space="preserve">Polymer type identification using spectroscopy</w:t>
      </w:r>
    </w:p>
    <w:p>
      <w:pPr>
        <w:pStyle w:val="Compact"/>
        <w:numPr>
          <w:ilvl w:val="0"/>
          <w:numId w:val="1020"/>
        </w:numPr>
      </w:pPr>
      <w:r>
        <w:t xml:space="preserve">Concentration measurements in different matrices</w:t>
      </w:r>
    </w:p>
    <w:p>
      <w:pPr>
        <w:pStyle w:val="Compact"/>
        <w:numPr>
          <w:ilvl w:val="0"/>
          <w:numId w:val="1020"/>
        </w:numPr>
      </w:pPr>
      <w:r>
        <w:t xml:space="preserve">Quality control and method validation</w:t>
      </w:r>
    </w:p>
    <w:bookmarkEnd w:id="34"/>
    <w:bookmarkStart w:id="35" w:name="exposure-assessment"/>
    <w:p>
      <w:pPr>
        <w:pStyle w:val="Heading3"/>
      </w:pPr>
      <w:r>
        <w:t xml:space="preserve">7.2 Exposure Assessment</w:t>
      </w:r>
    </w:p>
    <w:p>
      <w:pPr>
        <w:pStyle w:val="Compact"/>
        <w:numPr>
          <w:ilvl w:val="0"/>
          <w:numId w:val="1021"/>
        </w:numPr>
      </w:pPr>
      <w:r>
        <w:t xml:space="preserve">Internal dose estimation models</w:t>
      </w:r>
    </w:p>
    <w:p>
      <w:pPr>
        <w:pStyle w:val="Compact"/>
        <w:numPr>
          <w:ilvl w:val="0"/>
          <w:numId w:val="1021"/>
        </w:numPr>
      </w:pPr>
      <w:r>
        <w:t xml:space="preserve">Biomarker analysis where available</w:t>
      </w:r>
    </w:p>
    <w:p>
      <w:pPr>
        <w:pStyle w:val="Compact"/>
        <w:numPr>
          <w:ilvl w:val="0"/>
          <w:numId w:val="1021"/>
        </w:numPr>
      </w:pPr>
      <w:r>
        <w:t xml:space="preserve">Environmental concentration modeling</w:t>
      </w:r>
    </w:p>
    <w:p>
      <w:pPr>
        <w:pStyle w:val="Compact"/>
        <w:numPr>
          <w:ilvl w:val="0"/>
          <w:numId w:val="1021"/>
        </w:numPr>
      </w:pPr>
      <w:r>
        <w:t xml:space="preserve">Temporal and spatial exposure patterns</w:t>
      </w:r>
    </w:p>
    <w:bookmarkEnd w:id="35"/>
    <w:bookmarkStart w:id="36" w:name="association-analysis-1"/>
    <w:p>
      <w:pPr>
        <w:pStyle w:val="Heading3"/>
      </w:pPr>
      <w:r>
        <w:t xml:space="preserve">7.3 Association Analysis</w:t>
      </w:r>
    </w:p>
    <w:p>
      <w:pPr>
        <w:pStyle w:val="Compact"/>
        <w:numPr>
          <w:ilvl w:val="0"/>
          <w:numId w:val="1022"/>
        </w:numPr>
      </w:pPr>
      <w:r>
        <w:t xml:space="preserve">Dose-response relationships with allergy outcomes</w:t>
      </w:r>
    </w:p>
    <w:p>
      <w:pPr>
        <w:pStyle w:val="Compact"/>
        <w:numPr>
          <w:ilvl w:val="0"/>
          <w:numId w:val="1022"/>
        </w:numPr>
      </w:pPr>
      <w:r>
        <w:t xml:space="preserve">Adjustment for confounding factors</w:t>
      </w:r>
    </w:p>
    <w:p>
      <w:pPr>
        <w:pStyle w:val="Compact"/>
        <w:numPr>
          <w:ilvl w:val="0"/>
          <w:numId w:val="1022"/>
        </w:numPr>
      </w:pPr>
      <w:r>
        <w:t xml:space="preserve">Stratified analyses by exposure levels</w:t>
      </w:r>
    </w:p>
    <w:p>
      <w:pPr>
        <w:pStyle w:val="Compact"/>
        <w:numPr>
          <w:ilvl w:val="0"/>
          <w:numId w:val="1022"/>
        </w:numPr>
      </w:pPr>
      <w:r>
        <w:t xml:space="preserve">Interaction with other environmental factors</w:t>
      </w:r>
    </w:p>
    <w:bookmarkEnd w:id="36"/>
    <w:bookmarkEnd w:id="37"/>
    <w:bookmarkStart w:id="41" w:name="spatial-analysis"/>
    <w:p>
      <w:pPr>
        <w:pStyle w:val="Heading2"/>
      </w:pPr>
      <w:r>
        <w:t xml:space="preserve">8. Spatial Analysis</w:t>
      </w:r>
    </w:p>
    <w:bookmarkStart w:id="38" w:name="geographic-information-systems-gis"/>
    <w:p>
      <w:pPr>
        <w:pStyle w:val="Heading3"/>
      </w:pPr>
      <w:r>
        <w:t xml:space="preserve">8.1 Geographic Information Systems (GIS)</w:t>
      </w:r>
    </w:p>
    <w:p>
      <w:pPr>
        <w:pStyle w:val="Compact"/>
        <w:numPr>
          <w:ilvl w:val="0"/>
          <w:numId w:val="1023"/>
        </w:numPr>
      </w:pPr>
      <w:r>
        <w:t xml:space="preserve">Creation of spatial database with participant locations</w:t>
      </w:r>
    </w:p>
    <w:p>
      <w:pPr>
        <w:pStyle w:val="Compact"/>
        <w:numPr>
          <w:ilvl w:val="0"/>
          <w:numId w:val="1023"/>
        </w:numPr>
      </w:pPr>
      <w:r>
        <w:t xml:space="preserve">Environmental variable mapping (pollution, vegetation, industry)</w:t>
      </w:r>
    </w:p>
    <w:p>
      <w:pPr>
        <w:pStyle w:val="Compact"/>
        <w:numPr>
          <w:ilvl w:val="0"/>
          <w:numId w:val="1023"/>
        </w:numPr>
      </w:pPr>
      <w:r>
        <w:t xml:space="preserve">Buffer analysis for proximity measures</w:t>
      </w:r>
    </w:p>
    <w:p>
      <w:pPr>
        <w:pStyle w:val="Compact"/>
        <w:numPr>
          <w:ilvl w:val="0"/>
          <w:numId w:val="1023"/>
        </w:numPr>
      </w:pPr>
      <w:r>
        <w:t xml:space="preserve">Spatial clustering analysis</w:t>
      </w:r>
    </w:p>
    <w:bookmarkEnd w:id="38"/>
    <w:bookmarkStart w:id="39" w:name="spatial-statistics"/>
    <w:p>
      <w:pPr>
        <w:pStyle w:val="Heading3"/>
      </w:pPr>
      <w:r>
        <w:t xml:space="preserve">8.2 Spatial Statistics</w:t>
      </w:r>
    </w:p>
    <w:p>
      <w:pPr>
        <w:pStyle w:val="Compact"/>
        <w:numPr>
          <w:ilvl w:val="0"/>
          <w:numId w:val="1024"/>
        </w:numPr>
      </w:pPr>
      <w:r>
        <w:t xml:space="preserve">Global and local Moran’s I for spatial autocorrelation</w:t>
      </w:r>
    </w:p>
    <w:p>
      <w:pPr>
        <w:pStyle w:val="Compact"/>
        <w:numPr>
          <w:ilvl w:val="0"/>
          <w:numId w:val="1024"/>
        </w:numPr>
      </w:pPr>
      <w:r>
        <w:t xml:space="preserve">Spatial regression models (SAR, CAR)</w:t>
      </w:r>
    </w:p>
    <w:p>
      <w:pPr>
        <w:pStyle w:val="Compact"/>
        <w:numPr>
          <w:ilvl w:val="0"/>
          <w:numId w:val="1024"/>
        </w:numPr>
      </w:pPr>
      <w:r>
        <w:t xml:space="preserve">Hotspot analysis using Getis-Ord Gi* statistic</w:t>
      </w:r>
    </w:p>
    <w:p>
      <w:pPr>
        <w:pStyle w:val="Compact"/>
        <w:numPr>
          <w:ilvl w:val="0"/>
          <w:numId w:val="1024"/>
        </w:numPr>
      </w:pPr>
      <w:r>
        <w:t xml:space="preserve">Spatial interpolation for prevalence mapping</w:t>
      </w:r>
    </w:p>
    <w:bookmarkEnd w:id="39"/>
    <w:bookmarkStart w:id="40" w:name="temporal-analysis"/>
    <w:p>
      <w:pPr>
        <w:pStyle w:val="Heading3"/>
      </w:pPr>
      <w:r>
        <w:t xml:space="preserve">8.3 Temporal Analysis</w:t>
      </w:r>
    </w:p>
    <w:p>
      <w:pPr>
        <w:pStyle w:val="Compact"/>
        <w:numPr>
          <w:ilvl w:val="0"/>
          <w:numId w:val="1025"/>
        </w:numPr>
      </w:pPr>
      <w:r>
        <w:t xml:space="preserve">Seasonal patterns in allergy prevalence</w:t>
      </w:r>
    </w:p>
    <w:p>
      <w:pPr>
        <w:pStyle w:val="Compact"/>
        <w:numPr>
          <w:ilvl w:val="0"/>
          <w:numId w:val="1025"/>
        </w:numPr>
      </w:pPr>
      <w:r>
        <w:t xml:space="preserve">Time series analysis for symptom patterns</w:t>
      </w:r>
    </w:p>
    <w:p>
      <w:pPr>
        <w:pStyle w:val="Compact"/>
        <w:numPr>
          <w:ilvl w:val="0"/>
          <w:numId w:val="1025"/>
        </w:numPr>
      </w:pPr>
      <w:r>
        <w:t xml:space="preserve">Meteorological data integration</w:t>
      </w:r>
    </w:p>
    <w:p>
      <w:pPr>
        <w:pStyle w:val="Compact"/>
        <w:numPr>
          <w:ilvl w:val="0"/>
          <w:numId w:val="1025"/>
        </w:numPr>
      </w:pPr>
      <w:r>
        <w:t xml:space="preserve">Temporal clustering analysis</w:t>
      </w:r>
    </w:p>
    <w:bookmarkEnd w:id="40"/>
    <w:bookmarkEnd w:id="41"/>
    <w:bookmarkStart w:id="44" w:name="quality-of-life-and-treatment-analysis"/>
    <w:p>
      <w:pPr>
        <w:pStyle w:val="Heading2"/>
      </w:pPr>
      <w:r>
        <w:t xml:space="preserve">9. Quality of Life and Treatment Analysis</w:t>
      </w:r>
    </w:p>
    <w:bookmarkStart w:id="42" w:name="quality-of-life-assessment"/>
    <w:p>
      <w:pPr>
        <w:pStyle w:val="Heading3"/>
      </w:pPr>
      <w:r>
        <w:t xml:space="preserve">9.1 Quality of Life Assessment</w:t>
      </w:r>
    </w:p>
    <w:p>
      <w:pPr>
        <w:pStyle w:val="Compact"/>
        <w:numPr>
          <w:ilvl w:val="0"/>
          <w:numId w:val="1026"/>
        </w:numPr>
      </w:pPr>
      <w:r>
        <w:t xml:space="preserve">Scale validation and reliability testing</w:t>
      </w:r>
    </w:p>
    <w:p>
      <w:pPr>
        <w:pStyle w:val="Compact"/>
        <w:numPr>
          <w:ilvl w:val="0"/>
          <w:numId w:val="1026"/>
        </w:numPr>
      </w:pPr>
      <w:r>
        <w:t xml:space="preserve">Factor analysis for dimension identification</w:t>
      </w:r>
    </w:p>
    <w:p>
      <w:pPr>
        <w:pStyle w:val="Compact"/>
        <w:numPr>
          <w:ilvl w:val="0"/>
          <w:numId w:val="1026"/>
        </w:numPr>
      </w:pPr>
      <w:r>
        <w:t xml:space="preserve">Comparison between allergic and non-allergic groups</w:t>
      </w:r>
    </w:p>
    <w:p>
      <w:pPr>
        <w:pStyle w:val="Compact"/>
        <w:numPr>
          <w:ilvl w:val="0"/>
          <w:numId w:val="1026"/>
        </w:numPr>
      </w:pPr>
      <w:r>
        <w:t xml:space="preserve">Predictors of quality of life impairment</w:t>
      </w:r>
    </w:p>
    <w:bookmarkEnd w:id="42"/>
    <w:bookmarkStart w:id="43" w:name="treatment-perception-analysis"/>
    <w:p>
      <w:pPr>
        <w:pStyle w:val="Heading3"/>
      </w:pPr>
      <w:r>
        <w:t xml:space="preserve">9.2 Treatment Perception Analysis</w:t>
      </w:r>
    </w:p>
    <w:p>
      <w:pPr>
        <w:pStyle w:val="Compact"/>
        <w:numPr>
          <w:ilvl w:val="0"/>
          <w:numId w:val="1027"/>
        </w:numPr>
      </w:pPr>
      <w:r>
        <w:t xml:space="preserve">Content analysis of open-ended responses</w:t>
      </w:r>
    </w:p>
    <w:p>
      <w:pPr>
        <w:pStyle w:val="Compact"/>
        <w:numPr>
          <w:ilvl w:val="0"/>
          <w:numId w:val="1027"/>
        </w:numPr>
      </w:pPr>
      <w:r>
        <w:t xml:space="preserve">Likert scale analysis for satisfaction measures</w:t>
      </w:r>
    </w:p>
    <w:p>
      <w:pPr>
        <w:pStyle w:val="Compact"/>
        <w:numPr>
          <w:ilvl w:val="0"/>
          <w:numId w:val="1027"/>
        </w:numPr>
      </w:pPr>
      <w:r>
        <w:t xml:space="preserve">Barriers to treatment identification</w:t>
      </w:r>
    </w:p>
    <w:p>
      <w:pPr>
        <w:pStyle w:val="Compact"/>
        <w:numPr>
          <w:ilvl w:val="0"/>
          <w:numId w:val="1027"/>
        </w:numPr>
      </w:pPr>
      <w:r>
        <w:t xml:space="preserve">Cultural factors in treatment choices</w:t>
      </w:r>
    </w:p>
    <w:bookmarkEnd w:id="43"/>
    <w:bookmarkEnd w:id="44"/>
    <w:bookmarkStart w:id="47" w:name="subgroup-and-sensitivity-analyses"/>
    <w:p>
      <w:pPr>
        <w:pStyle w:val="Heading2"/>
      </w:pPr>
      <w:r>
        <w:t xml:space="preserve">10. Subgroup and Sensitivity Analyses</w:t>
      </w:r>
    </w:p>
    <w:bookmarkStart w:id="45" w:name="subgroup-analyses-1"/>
    <w:p>
      <w:pPr>
        <w:pStyle w:val="Heading3"/>
      </w:pPr>
      <w:r>
        <w:t xml:space="preserve">10.1 Subgroup Analyses</w:t>
      </w:r>
    </w:p>
    <w:p>
      <w:pPr>
        <w:pStyle w:val="Compact"/>
        <w:numPr>
          <w:ilvl w:val="0"/>
          <w:numId w:val="1028"/>
        </w:numPr>
      </w:pPr>
      <w:r>
        <w:t xml:space="preserve">Age-specific analyses (children, adults, elderly)</w:t>
      </w:r>
    </w:p>
    <w:p>
      <w:pPr>
        <w:pStyle w:val="Compact"/>
        <w:numPr>
          <w:ilvl w:val="0"/>
          <w:numId w:val="1028"/>
        </w:numPr>
      </w:pPr>
      <w:r>
        <w:t xml:space="preserve">Gender-specific analyses</w:t>
      </w:r>
    </w:p>
    <w:p>
      <w:pPr>
        <w:pStyle w:val="Compact"/>
        <w:numPr>
          <w:ilvl w:val="0"/>
          <w:numId w:val="1028"/>
        </w:numPr>
      </w:pPr>
      <w:r>
        <w:t xml:space="preserve">Urban vs rural comparisons</w:t>
      </w:r>
    </w:p>
    <w:p>
      <w:pPr>
        <w:pStyle w:val="Compact"/>
        <w:numPr>
          <w:ilvl w:val="0"/>
          <w:numId w:val="1028"/>
        </w:numPr>
      </w:pPr>
      <w:r>
        <w:t xml:space="preserve">Socioeconomic status stratifications</w:t>
      </w:r>
    </w:p>
    <w:bookmarkEnd w:id="45"/>
    <w:bookmarkStart w:id="46" w:name="sensitivity-analyses"/>
    <w:p>
      <w:pPr>
        <w:pStyle w:val="Heading3"/>
      </w:pPr>
      <w:r>
        <w:t xml:space="preserve">10.2 Sensitivity Analyses</w:t>
      </w:r>
    </w:p>
    <w:p>
      <w:pPr>
        <w:pStyle w:val="Compact"/>
        <w:numPr>
          <w:ilvl w:val="0"/>
          <w:numId w:val="1029"/>
        </w:numPr>
      </w:pPr>
      <w:r>
        <w:t xml:space="preserve">Different definitions of allergy outcomes</w:t>
      </w:r>
    </w:p>
    <w:p>
      <w:pPr>
        <w:pStyle w:val="Compact"/>
        <w:numPr>
          <w:ilvl w:val="0"/>
          <w:numId w:val="1029"/>
        </w:numPr>
      </w:pPr>
      <w:r>
        <w:t xml:space="preserve">Various missing data imputation methods</w:t>
      </w:r>
    </w:p>
    <w:p>
      <w:pPr>
        <w:pStyle w:val="Compact"/>
        <w:numPr>
          <w:ilvl w:val="0"/>
          <w:numId w:val="1029"/>
        </w:numPr>
      </w:pPr>
      <w:r>
        <w:t xml:space="preserve">Alternative confounder adjustment strategies</w:t>
      </w:r>
    </w:p>
    <w:p>
      <w:pPr>
        <w:pStyle w:val="Compact"/>
        <w:numPr>
          <w:ilvl w:val="0"/>
          <w:numId w:val="1029"/>
        </w:numPr>
      </w:pPr>
      <w:r>
        <w:t xml:space="preserve">Different analytic approaches for key associations</w:t>
      </w:r>
    </w:p>
    <w:bookmarkEnd w:id="46"/>
    <w:bookmarkEnd w:id="47"/>
    <w:bookmarkStart w:id="51" w:name="statistical-software-and-programming"/>
    <w:p>
      <w:pPr>
        <w:pStyle w:val="Heading2"/>
      </w:pPr>
      <w:r>
        <w:t xml:space="preserve">11. Statistical Software and Programming</w:t>
      </w:r>
    </w:p>
    <w:bookmarkStart w:id="48" w:name="primary-software"/>
    <w:p>
      <w:pPr>
        <w:pStyle w:val="Heading3"/>
      </w:pPr>
      <w:r>
        <w:t xml:space="preserve">11.1 Primary Software</w:t>
      </w:r>
    </w:p>
    <w:p>
      <w:pPr>
        <w:pStyle w:val="Compact"/>
        <w:numPr>
          <w:ilvl w:val="0"/>
          <w:numId w:val="1030"/>
        </w:numPr>
      </w:pPr>
      <w:r>
        <w:t xml:space="preserve">R (version 4.0+) for statistical analysis</w:t>
      </w:r>
    </w:p>
    <w:p>
      <w:pPr>
        <w:pStyle w:val="Compact"/>
        <w:numPr>
          <w:ilvl w:val="0"/>
          <w:numId w:val="1030"/>
        </w:numPr>
      </w:pPr>
      <w:r>
        <w:t xml:space="preserve">R packages: tidyverse, survey, lme4, mgcv, vegan, phyloseq</w:t>
      </w:r>
    </w:p>
    <w:p>
      <w:pPr>
        <w:pStyle w:val="Compact"/>
        <w:numPr>
          <w:ilvl w:val="0"/>
          <w:numId w:val="1030"/>
        </w:numPr>
      </w:pPr>
      <w:r>
        <w:t xml:space="preserve">Stata/SPSS for complex survey analysis</w:t>
      </w:r>
    </w:p>
    <w:p>
      <w:pPr>
        <w:pStyle w:val="Compact"/>
        <w:numPr>
          <w:ilvl w:val="0"/>
          <w:numId w:val="1030"/>
        </w:numPr>
      </w:pPr>
      <w:r>
        <w:t xml:space="preserve">Python for machine learning and bioinformatics</w:t>
      </w:r>
    </w:p>
    <w:bookmarkEnd w:id="48"/>
    <w:bookmarkStart w:id="49" w:name="specialized-software"/>
    <w:p>
      <w:pPr>
        <w:pStyle w:val="Heading3"/>
      </w:pPr>
      <w:r>
        <w:t xml:space="preserve">11.2 Specialized Software</w:t>
      </w:r>
    </w:p>
    <w:p>
      <w:pPr>
        <w:pStyle w:val="Compact"/>
        <w:numPr>
          <w:ilvl w:val="0"/>
          <w:numId w:val="1031"/>
        </w:numPr>
      </w:pPr>
      <w:r>
        <w:t xml:space="preserve">QIIME2/Mothur for microbiome analysis</w:t>
      </w:r>
    </w:p>
    <w:p>
      <w:pPr>
        <w:pStyle w:val="Compact"/>
        <w:numPr>
          <w:ilvl w:val="0"/>
          <w:numId w:val="1031"/>
        </w:numPr>
      </w:pPr>
      <w:r>
        <w:t xml:space="preserve">ArcGIS/QGIS for spatial analysis</w:t>
      </w:r>
    </w:p>
    <w:p>
      <w:pPr>
        <w:pStyle w:val="Compact"/>
        <w:numPr>
          <w:ilvl w:val="0"/>
          <w:numId w:val="1031"/>
        </w:numPr>
      </w:pPr>
      <w:r>
        <w:t xml:space="preserve">GraphPad Prism for graphical presentations</w:t>
      </w:r>
    </w:p>
    <w:p>
      <w:pPr>
        <w:pStyle w:val="Compact"/>
        <w:numPr>
          <w:ilvl w:val="0"/>
          <w:numId w:val="1031"/>
        </w:numPr>
      </w:pPr>
      <w:r>
        <w:t xml:space="preserve">NVivo for qualitative data analysis</w:t>
      </w:r>
    </w:p>
    <w:bookmarkEnd w:id="49"/>
    <w:bookmarkStart w:id="50" w:name="reproducibility"/>
    <w:p>
      <w:pPr>
        <w:pStyle w:val="Heading3"/>
      </w:pPr>
      <w:r>
        <w:t xml:space="preserve">11.3 Reproducibility</w:t>
      </w:r>
    </w:p>
    <w:p>
      <w:pPr>
        <w:pStyle w:val="Compact"/>
        <w:numPr>
          <w:ilvl w:val="0"/>
          <w:numId w:val="1032"/>
        </w:numPr>
      </w:pPr>
      <w:r>
        <w:t xml:space="preserve">R Markdown for reproducible reports</w:t>
      </w:r>
    </w:p>
    <w:p>
      <w:pPr>
        <w:pStyle w:val="Compact"/>
        <w:numPr>
          <w:ilvl w:val="0"/>
          <w:numId w:val="1032"/>
        </w:numPr>
      </w:pPr>
      <w:r>
        <w:t xml:space="preserve">Git version control for analysis scripts</w:t>
      </w:r>
    </w:p>
    <w:p>
      <w:pPr>
        <w:pStyle w:val="Compact"/>
        <w:numPr>
          <w:ilvl w:val="0"/>
          <w:numId w:val="1032"/>
        </w:numPr>
      </w:pPr>
      <w:r>
        <w:t xml:space="preserve">Docker containers for software environment</w:t>
      </w:r>
    </w:p>
    <w:p>
      <w:pPr>
        <w:pStyle w:val="Compact"/>
        <w:numPr>
          <w:ilvl w:val="0"/>
          <w:numId w:val="1032"/>
        </w:numPr>
      </w:pPr>
      <w:r>
        <w:t xml:space="preserve">Detailed code documentation and comments</w:t>
      </w:r>
    </w:p>
    <w:bookmarkEnd w:id="50"/>
    <w:bookmarkEnd w:id="51"/>
    <w:bookmarkStart w:id="55" w:name="data-presentation-and-visualization"/>
    <w:p>
      <w:pPr>
        <w:pStyle w:val="Heading2"/>
      </w:pPr>
      <w:r>
        <w:t xml:space="preserve">12. Data Presentation and Visualization</w:t>
      </w:r>
    </w:p>
    <w:bookmarkStart w:id="52" w:name="tables"/>
    <w:p>
      <w:pPr>
        <w:pStyle w:val="Heading3"/>
      </w:pPr>
      <w:r>
        <w:t xml:space="preserve">12.1 Tables</w:t>
      </w:r>
    </w:p>
    <w:p>
      <w:pPr>
        <w:pStyle w:val="Compact"/>
        <w:numPr>
          <w:ilvl w:val="0"/>
          <w:numId w:val="1033"/>
        </w:numPr>
      </w:pPr>
      <w:r>
        <w:t xml:space="preserve">Descriptive statistics tables</w:t>
      </w:r>
    </w:p>
    <w:p>
      <w:pPr>
        <w:pStyle w:val="Compact"/>
        <w:numPr>
          <w:ilvl w:val="0"/>
          <w:numId w:val="1033"/>
        </w:numPr>
      </w:pPr>
      <w:r>
        <w:t xml:space="preserve">Bivariate analysis results</w:t>
      </w:r>
    </w:p>
    <w:p>
      <w:pPr>
        <w:pStyle w:val="Compact"/>
        <w:numPr>
          <w:ilvl w:val="0"/>
          <w:numId w:val="1033"/>
        </w:numPr>
      </w:pPr>
      <w:r>
        <w:t xml:space="preserve">Multivariate model results</w:t>
      </w:r>
    </w:p>
    <w:p>
      <w:pPr>
        <w:pStyle w:val="Compact"/>
        <w:numPr>
          <w:ilvl w:val="0"/>
          <w:numId w:val="1033"/>
        </w:numPr>
      </w:pPr>
      <w:r>
        <w:t xml:space="preserve">Subgroup analysis summaries</w:t>
      </w:r>
    </w:p>
    <w:bookmarkEnd w:id="52"/>
    <w:bookmarkStart w:id="53" w:name="figures"/>
    <w:p>
      <w:pPr>
        <w:pStyle w:val="Heading3"/>
      </w:pPr>
      <w:r>
        <w:t xml:space="preserve">12.2 Figures</w:t>
      </w:r>
    </w:p>
    <w:p>
      <w:pPr>
        <w:pStyle w:val="Compact"/>
        <w:numPr>
          <w:ilvl w:val="0"/>
          <w:numId w:val="1034"/>
        </w:numPr>
      </w:pPr>
      <w:r>
        <w:t xml:space="preserve">Prevalence maps using GIS</w:t>
      </w:r>
    </w:p>
    <w:p>
      <w:pPr>
        <w:pStyle w:val="Compact"/>
        <w:numPr>
          <w:ilvl w:val="0"/>
          <w:numId w:val="1034"/>
        </w:numPr>
      </w:pPr>
      <w:r>
        <w:t xml:space="preserve">Forest plots for odds ratios</w:t>
      </w:r>
    </w:p>
    <w:p>
      <w:pPr>
        <w:pStyle w:val="Compact"/>
        <w:numPr>
          <w:ilvl w:val="0"/>
          <w:numId w:val="1034"/>
        </w:numPr>
      </w:pPr>
      <w:r>
        <w:t xml:space="preserve">Microbiome composition plots (bar charts, heatmaps)</w:t>
      </w:r>
    </w:p>
    <w:p>
      <w:pPr>
        <w:pStyle w:val="Compact"/>
        <w:numPr>
          <w:ilvl w:val="0"/>
          <w:numId w:val="1034"/>
        </w:numPr>
      </w:pPr>
      <w:r>
        <w:t xml:space="preserve">Quality of life radar charts</w:t>
      </w:r>
    </w:p>
    <w:p>
      <w:pPr>
        <w:pStyle w:val="Compact"/>
        <w:numPr>
          <w:ilvl w:val="0"/>
          <w:numId w:val="1034"/>
        </w:numPr>
      </w:pPr>
      <w:r>
        <w:t xml:space="preserve">Time series plots for temporal patterns</w:t>
      </w:r>
    </w:p>
    <w:bookmarkEnd w:id="53"/>
    <w:bookmarkStart w:id="54" w:name="interactive-visualizations"/>
    <w:p>
      <w:pPr>
        <w:pStyle w:val="Heading3"/>
      </w:pPr>
      <w:r>
        <w:t xml:space="preserve">12.3 Interactive Visualizations</w:t>
      </w:r>
    </w:p>
    <w:p>
      <w:pPr>
        <w:pStyle w:val="Compact"/>
        <w:numPr>
          <w:ilvl w:val="0"/>
          <w:numId w:val="1035"/>
        </w:numPr>
      </w:pPr>
      <w:r>
        <w:t xml:space="preserve">Web-based dashboards for data exploration</w:t>
      </w:r>
    </w:p>
    <w:p>
      <w:pPr>
        <w:pStyle w:val="Compact"/>
        <w:numPr>
          <w:ilvl w:val="0"/>
          <w:numId w:val="1035"/>
        </w:numPr>
      </w:pPr>
      <w:r>
        <w:t xml:space="preserve">Interactive maps for spatial patterns</w:t>
      </w:r>
    </w:p>
    <w:p>
      <w:pPr>
        <w:pStyle w:val="Compact"/>
        <w:numPr>
          <w:ilvl w:val="0"/>
          <w:numId w:val="1035"/>
        </w:numPr>
      </w:pPr>
      <w:r>
        <w:t xml:space="preserve">Dynamic plots for subgroup comparisons</w:t>
      </w:r>
    </w:p>
    <w:bookmarkEnd w:id="54"/>
    <w:bookmarkEnd w:id="55"/>
    <w:bookmarkStart w:id="58" w:name="reporting-and-dissemination"/>
    <w:p>
      <w:pPr>
        <w:pStyle w:val="Heading2"/>
      </w:pPr>
      <w:r>
        <w:t xml:space="preserve">13. Reporting and Dissemination</w:t>
      </w:r>
    </w:p>
    <w:bookmarkStart w:id="56" w:name="statistical-reporting-standards"/>
    <w:p>
      <w:pPr>
        <w:pStyle w:val="Heading3"/>
      </w:pPr>
      <w:r>
        <w:t xml:space="preserve">13.1 Statistical Reporting Standards</w:t>
      </w:r>
    </w:p>
    <w:p>
      <w:pPr>
        <w:pStyle w:val="Compact"/>
        <w:numPr>
          <w:ilvl w:val="0"/>
          <w:numId w:val="1036"/>
        </w:numPr>
      </w:pPr>
      <w:r>
        <w:t xml:space="preserve">STROBE guidelines for observational studies</w:t>
      </w:r>
    </w:p>
    <w:p>
      <w:pPr>
        <w:pStyle w:val="Compact"/>
        <w:numPr>
          <w:ilvl w:val="0"/>
          <w:numId w:val="1036"/>
        </w:numPr>
      </w:pPr>
      <w:r>
        <w:t xml:space="preserve">CONSORT extensions for specific analyses</w:t>
      </w:r>
    </w:p>
    <w:p>
      <w:pPr>
        <w:pStyle w:val="Compact"/>
        <w:numPr>
          <w:ilvl w:val="0"/>
          <w:numId w:val="1036"/>
        </w:numPr>
      </w:pPr>
      <w:r>
        <w:t xml:space="preserve">Appropriate precision measures (95% CI, p-values)</w:t>
      </w:r>
    </w:p>
    <w:p>
      <w:pPr>
        <w:pStyle w:val="Compact"/>
        <w:numPr>
          <w:ilvl w:val="0"/>
          <w:numId w:val="1036"/>
        </w:numPr>
      </w:pPr>
      <w:r>
        <w:t xml:space="preserve">Effect size reporting</w:t>
      </w:r>
    </w:p>
    <w:bookmarkEnd w:id="56"/>
    <w:bookmarkStart w:id="57" w:name="publication-strategy"/>
    <w:p>
      <w:pPr>
        <w:pStyle w:val="Heading3"/>
      </w:pPr>
      <w:r>
        <w:t xml:space="preserve">13.2 Publication Strategy</w:t>
      </w:r>
    </w:p>
    <w:p>
      <w:pPr>
        <w:pStyle w:val="Compact"/>
        <w:numPr>
          <w:ilvl w:val="0"/>
          <w:numId w:val="1037"/>
        </w:numPr>
      </w:pPr>
      <w:r>
        <w:t xml:space="preserve">Primary manuscript on prevalence and risk factors</w:t>
      </w:r>
    </w:p>
    <w:p>
      <w:pPr>
        <w:pStyle w:val="Compact"/>
        <w:numPr>
          <w:ilvl w:val="0"/>
          <w:numId w:val="1037"/>
        </w:numPr>
      </w:pPr>
      <w:r>
        <w:t xml:space="preserve">Secondary manuscripts on microbiome, microplastics, spatial analysis</w:t>
      </w:r>
    </w:p>
    <w:p>
      <w:pPr>
        <w:pStyle w:val="Compact"/>
        <w:numPr>
          <w:ilvl w:val="0"/>
          <w:numId w:val="1037"/>
        </w:numPr>
      </w:pPr>
      <w:r>
        <w:t xml:space="preserve">Conference presentations and abstracts</w:t>
      </w:r>
    </w:p>
    <w:p>
      <w:pPr>
        <w:pStyle w:val="Compact"/>
        <w:numPr>
          <w:ilvl w:val="0"/>
          <w:numId w:val="1037"/>
        </w:numPr>
      </w:pPr>
      <w:r>
        <w:t xml:space="preserve">Policy briefs for local authorities</w:t>
      </w:r>
    </w:p>
    <w:bookmarkEnd w:id="57"/>
    <w:bookmarkEnd w:id="58"/>
    <w:bookmarkStart w:id="62" w:name="quality-assurance-and-validation"/>
    <w:p>
      <w:pPr>
        <w:pStyle w:val="Heading2"/>
      </w:pPr>
      <w:r>
        <w:t xml:space="preserve">14. Quality Assurance and Validation</w:t>
      </w:r>
    </w:p>
    <w:bookmarkStart w:id="59" w:name="internal-validation"/>
    <w:p>
      <w:pPr>
        <w:pStyle w:val="Heading3"/>
      </w:pPr>
      <w:r>
        <w:t xml:space="preserve">14.1 Internal Validation</w:t>
      </w:r>
    </w:p>
    <w:p>
      <w:pPr>
        <w:pStyle w:val="Compact"/>
        <w:numPr>
          <w:ilvl w:val="0"/>
          <w:numId w:val="1038"/>
        </w:numPr>
      </w:pPr>
      <w:r>
        <w:t xml:space="preserve">Cross-validation of key findings</w:t>
      </w:r>
    </w:p>
    <w:p>
      <w:pPr>
        <w:pStyle w:val="Compact"/>
        <w:numPr>
          <w:ilvl w:val="0"/>
          <w:numId w:val="1038"/>
        </w:numPr>
      </w:pPr>
      <w:r>
        <w:t xml:space="preserve">Bootstrap validation of models</w:t>
      </w:r>
    </w:p>
    <w:p>
      <w:pPr>
        <w:pStyle w:val="Compact"/>
        <w:numPr>
          <w:ilvl w:val="0"/>
          <w:numId w:val="1038"/>
        </w:numPr>
      </w:pPr>
      <w:r>
        <w:t xml:space="preserve">Sensitivity analyses for robustness</w:t>
      </w:r>
    </w:p>
    <w:bookmarkEnd w:id="59"/>
    <w:bookmarkStart w:id="60" w:name="external-validation"/>
    <w:p>
      <w:pPr>
        <w:pStyle w:val="Heading3"/>
      </w:pPr>
      <w:r>
        <w:t xml:space="preserve">14.2 External Validation</w:t>
      </w:r>
    </w:p>
    <w:p>
      <w:pPr>
        <w:pStyle w:val="Compact"/>
        <w:numPr>
          <w:ilvl w:val="0"/>
          <w:numId w:val="1039"/>
        </w:numPr>
      </w:pPr>
      <w:r>
        <w:t xml:space="preserve">Comparison with existing literature</w:t>
      </w:r>
    </w:p>
    <w:p>
      <w:pPr>
        <w:pStyle w:val="Compact"/>
        <w:numPr>
          <w:ilvl w:val="0"/>
          <w:numId w:val="1039"/>
        </w:numPr>
      </w:pPr>
      <w:r>
        <w:t xml:space="preserve">Validation in similar populations</w:t>
      </w:r>
    </w:p>
    <w:p>
      <w:pPr>
        <w:pStyle w:val="Compact"/>
        <w:numPr>
          <w:ilvl w:val="0"/>
          <w:numId w:val="1039"/>
        </w:numPr>
      </w:pPr>
      <w:r>
        <w:t xml:space="preserve">Assessment of generalizability</w:t>
      </w:r>
    </w:p>
    <w:bookmarkEnd w:id="60"/>
    <w:bookmarkStart w:id="61" w:name="data-quality-monitoring"/>
    <w:p>
      <w:pPr>
        <w:pStyle w:val="Heading3"/>
      </w:pPr>
      <w:r>
        <w:t xml:space="preserve">14.3 Data Quality Monitoring</w:t>
      </w:r>
    </w:p>
    <w:p>
      <w:pPr>
        <w:pStyle w:val="Compact"/>
        <w:numPr>
          <w:ilvl w:val="0"/>
          <w:numId w:val="1040"/>
        </w:numPr>
      </w:pPr>
      <w:r>
        <w:t xml:space="preserve">Regular data quality reports</w:t>
      </w:r>
    </w:p>
    <w:p>
      <w:pPr>
        <w:pStyle w:val="Compact"/>
        <w:numPr>
          <w:ilvl w:val="0"/>
          <w:numId w:val="1040"/>
        </w:numPr>
      </w:pPr>
      <w:r>
        <w:t xml:space="preserve">Inter-rater reliability assessment</w:t>
      </w:r>
    </w:p>
    <w:p>
      <w:pPr>
        <w:pStyle w:val="Compact"/>
        <w:numPr>
          <w:ilvl w:val="0"/>
          <w:numId w:val="1040"/>
        </w:numPr>
      </w:pPr>
      <w:r>
        <w:t xml:space="preserve">Protocol adherence monitoring</w:t>
      </w:r>
    </w:p>
    <w:bookmarkEnd w:id="61"/>
    <w:bookmarkEnd w:id="62"/>
    <w:bookmarkStart w:id="63" w:name="timeline-for-analysis"/>
    <w:p>
      <w:pPr>
        <w:pStyle w:val="Heading2"/>
      </w:pPr>
      <w:r>
        <w:t xml:space="preserve">15. Timeline for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collection completion</w:t>
            </w:r>
          </w:p>
        </w:tc>
        <w:tc>
          <w:tcPr/>
          <w:p>
            <w:pPr>
              <w:pStyle w:val="Compact"/>
            </w:pPr>
            <w:r>
              <w:t xml:space="preserve">Month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cleaning and validation</w:t>
            </w:r>
          </w:p>
        </w:tc>
        <w:tc>
          <w:tcPr/>
          <w:p>
            <w:pPr>
              <w:pStyle w:val="Compact"/>
            </w:pPr>
            <w:r>
              <w:t xml:space="preserve">Month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Descriptive analysis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Bivariate analysis</w:t>
            </w:r>
          </w:p>
        </w:tc>
        <w:tc>
          <w:tcPr/>
          <w:p>
            <w:pPr>
              <w:pStyle w:val="Compact"/>
            </w:pPr>
            <w:r>
              <w:t xml:space="preserve">Month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Multivariate analysis</w:t>
            </w:r>
          </w:p>
        </w:tc>
        <w:tc>
          <w:tcPr/>
          <w:p>
            <w:pPr>
              <w:pStyle w:val="Compact"/>
            </w:pPr>
            <w:r>
              <w:t xml:space="preserve">Month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Microbiome analysis</w:t>
            </w:r>
          </w:p>
        </w:tc>
        <w:tc>
          <w:tcPr/>
          <w:p>
            <w:pPr>
              <w:pStyle w:val="Compact"/>
            </w:pPr>
            <w:r>
              <w:t xml:space="preserve">Month 14-15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Spatial analysis</w:t>
            </w:r>
          </w:p>
        </w:tc>
        <w:tc>
          <w:tcPr/>
          <w:p>
            <w:pPr>
              <w:pStyle w:val="Compact"/>
            </w:pPr>
            <w:r>
              <w:t xml:space="preserve">Month 14-15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 writing</w:t>
            </w:r>
          </w:p>
        </w:tc>
        <w:tc>
          <w:tcPr/>
          <w:p>
            <w:pPr>
              <w:pStyle w:val="Compact"/>
            </w:pPr>
            <w:r>
              <w:t xml:space="preserve">Month 15-16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Publication preparation</w:t>
            </w:r>
          </w:p>
        </w:tc>
        <w:tc>
          <w:tcPr/>
          <w:p>
            <w:pPr>
              <w:pStyle w:val="Compact"/>
            </w:pPr>
            <w:r>
              <w:t xml:space="preserve">Month 16</w:t>
            </w:r>
          </w:p>
        </w:tc>
      </w:tr>
    </w:tbl>
    <w:bookmarkEnd w:id="63"/>
    <w:bookmarkStart w:id="67" w:name="resources-required"/>
    <w:p>
      <w:pPr>
        <w:pStyle w:val="Heading2"/>
      </w:pPr>
      <w:r>
        <w:t xml:space="preserve">16. Resources Required</w:t>
      </w:r>
    </w:p>
    <w:bookmarkStart w:id="64" w:name="personnel"/>
    <w:p>
      <w:pPr>
        <w:pStyle w:val="Heading3"/>
      </w:pPr>
      <w:r>
        <w:t xml:space="preserve">16.1 Personnel</w:t>
      </w:r>
    </w:p>
    <w:p>
      <w:pPr>
        <w:pStyle w:val="Compact"/>
        <w:numPr>
          <w:ilvl w:val="0"/>
          <w:numId w:val="1041"/>
        </w:numPr>
      </w:pPr>
      <w:r>
        <w:t xml:space="preserve">Principal Investigator: 20% time</w:t>
      </w:r>
    </w:p>
    <w:p>
      <w:pPr>
        <w:pStyle w:val="Compact"/>
        <w:numPr>
          <w:ilvl w:val="0"/>
          <w:numId w:val="1041"/>
        </w:numPr>
      </w:pPr>
      <w:r>
        <w:t xml:space="preserve">Biostatistician: Full time for 6 months</w:t>
      </w:r>
    </w:p>
    <w:p>
      <w:pPr>
        <w:pStyle w:val="Compact"/>
        <w:numPr>
          <w:ilvl w:val="0"/>
          <w:numId w:val="1041"/>
        </w:numPr>
      </w:pPr>
      <w:r>
        <w:t xml:space="preserve">Data analysts: 2 persons for 4 months</w:t>
      </w:r>
    </w:p>
    <w:p>
      <w:pPr>
        <w:pStyle w:val="Compact"/>
        <w:numPr>
          <w:ilvl w:val="0"/>
          <w:numId w:val="1041"/>
        </w:numPr>
      </w:pPr>
      <w:r>
        <w:t xml:space="preserve">Microbiome specialist: Consultant basis</w:t>
      </w:r>
    </w:p>
    <w:p>
      <w:pPr>
        <w:pStyle w:val="Compact"/>
        <w:numPr>
          <w:ilvl w:val="0"/>
          <w:numId w:val="1041"/>
        </w:numPr>
      </w:pPr>
      <w:r>
        <w:t xml:space="preserve">GIS specialist: Consultant basis</w:t>
      </w:r>
    </w:p>
    <w:bookmarkEnd w:id="64"/>
    <w:bookmarkStart w:id="65" w:name="computing-resources"/>
    <w:p>
      <w:pPr>
        <w:pStyle w:val="Heading3"/>
      </w:pPr>
      <w:r>
        <w:t xml:space="preserve">16.2 Computing Resources</w:t>
      </w:r>
    </w:p>
    <w:p>
      <w:pPr>
        <w:pStyle w:val="Compact"/>
        <w:numPr>
          <w:ilvl w:val="0"/>
          <w:numId w:val="1042"/>
        </w:numPr>
      </w:pPr>
      <w:r>
        <w:t xml:space="preserve">High-performance computing for microbiome analysis</w:t>
      </w:r>
    </w:p>
    <w:p>
      <w:pPr>
        <w:pStyle w:val="Compact"/>
        <w:numPr>
          <w:ilvl w:val="0"/>
          <w:numId w:val="1042"/>
        </w:numPr>
      </w:pPr>
      <w:r>
        <w:t xml:space="preserve">GIS software licenses</w:t>
      </w:r>
    </w:p>
    <w:p>
      <w:pPr>
        <w:pStyle w:val="Compact"/>
        <w:numPr>
          <w:ilvl w:val="0"/>
          <w:numId w:val="1042"/>
        </w:numPr>
      </w:pPr>
      <w:r>
        <w:t xml:space="preserve">Statistical software licenses</w:t>
      </w:r>
    </w:p>
    <w:p>
      <w:pPr>
        <w:pStyle w:val="Compact"/>
        <w:numPr>
          <w:ilvl w:val="0"/>
          <w:numId w:val="1042"/>
        </w:numPr>
      </w:pPr>
      <w:r>
        <w:t xml:space="preserve">Secure data storage systems</w:t>
      </w:r>
    </w:p>
    <w:bookmarkEnd w:id="65"/>
    <w:bookmarkStart w:id="66" w:name="training"/>
    <w:p>
      <w:pPr>
        <w:pStyle w:val="Heading3"/>
      </w:pPr>
      <w:r>
        <w:t xml:space="preserve">16.3 Training</w:t>
      </w:r>
    </w:p>
    <w:p>
      <w:pPr>
        <w:pStyle w:val="Compact"/>
        <w:numPr>
          <w:ilvl w:val="0"/>
          <w:numId w:val="1043"/>
        </w:numPr>
      </w:pPr>
      <w:r>
        <w:t xml:space="preserve">Advanced statistical methods training</w:t>
      </w:r>
    </w:p>
    <w:p>
      <w:pPr>
        <w:pStyle w:val="Compact"/>
        <w:numPr>
          <w:ilvl w:val="0"/>
          <w:numId w:val="1043"/>
        </w:numPr>
      </w:pPr>
      <w:r>
        <w:t xml:space="preserve">Bioinformatics training for microbiome analysis</w:t>
      </w:r>
    </w:p>
    <w:p>
      <w:pPr>
        <w:pStyle w:val="Compact"/>
        <w:numPr>
          <w:ilvl w:val="0"/>
          <w:numId w:val="1043"/>
        </w:numPr>
      </w:pPr>
      <w:r>
        <w:t xml:space="preserve">GIS training for spatial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Plan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Approval Date: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__________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2025-11-03T09:37:04Z</dcterms:created>
  <dcterms:modified xsi:type="dcterms:W3CDTF">2025-11-03T09:37:04Z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