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8" w:name="X42f7a11d6c51bd43124b661436b499af94e0181"/>
    <w:p>
      <w:pPr>
        <w:pStyle w:val="Heading1"/>
      </w:pPr>
      <w:r>
        <w:t xml:space="preserve">Data Management Plan - Allergy Epidemiology Study</w:t>
      </w:r>
    </w:p>
    <w:p>
      <w:pPr>
        <w:pStyle w:val="FirstParagraph"/>
      </w:pPr>
      <w:r>
        <w:rPr>
          <w:b/>
          <w:bCs/>
        </w:rPr>
        <w:t xml:space="preserve">Study Title:</w:t>
      </w:r>
      <w:r>
        <w:t xml:space="preserve"> </w:t>
      </w:r>
      <w:r>
        <w:t xml:space="preserve">Epidemiological Study on Allergy in SIMS&amp;RH Tumkur, Karnataka</w:t>
      </w:r>
    </w:p>
    <w:p>
      <w:pPr>
        <w:pStyle w:val="BodyText"/>
      </w:pPr>
      <w:r>
        <w:rPr>
          <w:b/>
          <w:bCs/>
        </w:rPr>
        <w:t xml:space="preserve">Version:</w:t>
      </w:r>
      <w:r>
        <w:t xml:space="preserve"> </w:t>
      </w:r>
      <w:r>
        <w:t xml:space="preserve">1.0</w:t>
      </w:r>
    </w:p>
    <w:p>
      <w:pPr>
        <w:pStyle w:val="BodyText"/>
      </w:pPr>
      <w:r>
        <w:rPr>
          <w:b/>
          <w:bCs/>
        </w:rPr>
        <w:t xml:space="preserve">Effective Date:</w:t>
      </w:r>
      <w:r>
        <w:t xml:space="preserve"> </w:t>
      </w:r>
      <w:r>
        <w:t xml:space="preserve">__________</w:t>
      </w:r>
    </w:p>
    <w:p>
      <w:r>
        <w:pict>
          <v:rect style="width:0;height:1.5pt" o:hralign="center" o:hrstd="t" o:hr="t"/>
        </w:pict>
      </w:r>
    </w:p>
    <w:bookmarkStart w:id="9" w:name="introduction"/>
    <w:p>
      <w:pPr>
        <w:pStyle w:val="Heading2"/>
      </w:pPr>
      <w:r>
        <w:t xml:space="preserve">1. Introduction</w:t>
      </w:r>
    </w:p>
    <w:p>
      <w:pPr>
        <w:pStyle w:val="FirstParagraph"/>
      </w:pPr>
      <w:r>
        <w:t xml:space="preserve">This Data Management Plan (DMP) outlines the procedures for handling, storing, processing, and sharing data collected during the allergy epidemiology study. The plan ensures data integrity, security, confidentiality, and compliance with regulatory requirements.</w:t>
      </w:r>
    </w:p>
    <w:bookmarkEnd w:id="9"/>
    <w:bookmarkStart w:id="13" w:name="data-types-and-sources"/>
    <w:p>
      <w:pPr>
        <w:pStyle w:val="Heading2"/>
      </w:pPr>
      <w:r>
        <w:t xml:space="preserve">2. Data Types and Sources</w:t>
      </w:r>
    </w:p>
    <w:bookmarkStart w:id="10" w:name="primary-data-types"/>
    <w:p>
      <w:pPr>
        <w:pStyle w:val="Heading3"/>
      </w:pPr>
      <w:r>
        <w:t xml:space="preserve">2.1 Primary Data Types</w:t>
      </w:r>
    </w:p>
    <w:p>
      <w:pPr>
        <w:pStyle w:val="Compact"/>
        <w:numPr>
          <w:ilvl w:val="0"/>
          <w:numId w:val="1001"/>
        </w:numPr>
      </w:pPr>
      <w:r>
        <w:rPr>
          <w:b/>
          <w:bCs/>
        </w:rPr>
        <w:t xml:space="preserve">Survey Data:</w:t>
      </w:r>
      <w:r>
        <w:t xml:space="preserve"> </w:t>
      </w:r>
      <w:r>
        <w:t xml:space="preserve">Sociodemographic, clinical, and questionnaire responses</w:t>
      </w:r>
    </w:p>
    <w:p>
      <w:pPr>
        <w:pStyle w:val="Compact"/>
        <w:numPr>
          <w:ilvl w:val="0"/>
          <w:numId w:val="1001"/>
        </w:numPr>
      </w:pPr>
      <w:r>
        <w:rPr>
          <w:b/>
          <w:bCs/>
        </w:rPr>
        <w:t xml:space="preserve">Clinical Data:</w:t>
      </w:r>
      <w:r>
        <w:t xml:space="preserve"> </w:t>
      </w:r>
      <w:r>
        <w:t xml:space="preserve">Examination findings, vital signs, skin prick test results</w:t>
      </w:r>
    </w:p>
    <w:p>
      <w:pPr>
        <w:pStyle w:val="Compact"/>
        <w:numPr>
          <w:ilvl w:val="0"/>
          <w:numId w:val="1001"/>
        </w:numPr>
      </w:pPr>
      <w:r>
        <w:rPr>
          <w:b/>
          <w:bCs/>
        </w:rPr>
        <w:t xml:space="preserve">Laboratory Data:</w:t>
      </w:r>
      <w:r>
        <w:t xml:space="preserve"> </w:t>
      </w:r>
      <w:r>
        <w:t xml:space="preserve">Microbiome sequencing data, microplastic analysis results</w:t>
      </w:r>
    </w:p>
    <w:p>
      <w:pPr>
        <w:pStyle w:val="Compact"/>
        <w:numPr>
          <w:ilvl w:val="0"/>
          <w:numId w:val="1001"/>
        </w:numPr>
      </w:pPr>
      <w:r>
        <w:rPr>
          <w:b/>
          <w:bCs/>
        </w:rPr>
        <w:t xml:space="preserve">Spatial Data:</w:t>
      </w:r>
      <w:r>
        <w:t xml:space="preserve"> </w:t>
      </w:r>
      <w:r>
        <w:t xml:space="preserve">GPS coordinates, environmental mapping data</w:t>
      </w:r>
    </w:p>
    <w:p>
      <w:pPr>
        <w:pStyle w:val="Compact"/>
        <w:numPr>
          <w:ilvl w:val="0"/>
          <w:numId w:val="1001"/>
        </w:numPr>
      </w:pPr>
      <w:r>
        <w:rPr>
          <w:b/>
          <w:bCs/>
        </w:rPr>
        <w:t xml:space="preserve">Administrative Data:</w:t>
      </w:r>
      <w:r>
        <w:t xml:space="preserve"> </w:t>
      </w:r>
      <w:r>
        <w:t xml:space="preserve">Consent forms, adverse event reports</w:t>
      </w:r>
    </w:p>
    <w:bookmarkEnd w:id="10"/>
    <w:bookmarkStart w:id="11" w:name="data-sources"/>
    <w:p>
      <w:pPr>
        <w:pStyle w:val="Heading3"/>
      </w:pPr>
      <w:r>
        <w:t xml:space="preserve">2.2 Data Sources</w:t>
      </w:r>
    </w:p>
    <w:p>
      <w:pPr>
        <w:pStyle w:val="Compact"/>
        <w:numPr>
          <w:ilvl w:val="0"/>
          <w:numId w:val="1002"/>
        </w:numPr>
      </w:pPr>
      <w:r>
        <w:t xml:space="preserve">Electronic questionnaires (REDCap/mobile devices)</w:t>
      </w:r>
    </w:p>
    <w:p>
      <w:pPr>
        <w:pStyle w:val="Compact"/>
        <w:numPr>
          <w:ilvl w:val="0"/>
          <w:numId w:val="1002"/>
        </w:numPr>
      </w:pPr>
      <w:r>
        <w:t xml:space="preserve">Paper-based clinical forms</w:t>
      </w:r>
    </w:p>
    <w:p>
      <w:pPr>
        <w:pStyle w:val="Compact"/>
        <w:numPr>
          <w:ilvl w:val="0"/>
          <w:numId w:val="1002"/>
        </w:numPr>
      </w:pPr>
      <w:r>
        <w:t xml:space="preserve">Laboratory information systems</w:t>
      </w:r>
    </w:p>
    <w:p>
      <w:pPr>
        <w:pStyle w:val="Compact"/>
        <w:numPr>
          <w:ilvl w:val="0"/>
          <w:numId w:val="1002"/>
        </w:numPr>
      </w:pPr>
      <w:r>
        <w:t xml:space="preserve">GPS devices</w:t>
      </w:r>
    </w:p>
    <w:p>
      <w:pPr>
        <w:pStyle w:val="Compact"/>
        <w:numPr>
          <w:ilvl w:val="0"/>
          <w:numId w:val="1002"/>
        </w:numPr>
      </w:pPr>
      <w:r>
        <w:t xml:space="preserve">Digital imaging systems</w:t>
      </w:r>
    </w:p>
    <w:bookmarkEnd w:id="11"/>
    <w:bookmarkStart w:id="12" w:name="data-volume-estimates"/>
    <w:p>
      <w:pPr>
        <w:pStyle w:val="Heading3"/>
      </w:pPr>
      <w:r>
        <w:t xml:space="preserve">2.3 Data Volume Estimates</w:t>
      </w:r>
    </w:p>
    <w:p>
      <w:pPr>
        <w:pStyle w:val="Compact"/>
        <w:numPr>
          <w:ilvl w:val="0"/>
          <w:numId w:val="1003"/>
        </w:numPr>
      </w:pPr>
      <w:r>
        <w:t xml:space="preserve">Survey responses: 1,200 participants × 150 variables = 180,000 data points</w:t>
      </w:r>
    </w:p>
    <w:p>
      <w:pPr>
        <w:pStyle w:val="Compact"/>
        <w:numPr>
          <w:ilvl w:val="0"/>
          <w:numId w:val="1003"/>
        </w:numPr>
      </w:pPr>
      <w:r>
        <w:t xml:space="preserve">Clinical measurements: 1,200 × 50 variables = 60,000 data points</w:t>
      </w:r>
    </w:p>
    <w:p>
      <w:pPr>
        <w:pStyle w:val="Compact"/>
        <w:numPr>
          <w:ilvl w:val="0"/>
          <w:numId w:val="1003"/>
        </w:numPr>
      </w:pPr>
      <w:r>
        <w:t xml:space="preserve">Microbiome data: 200 samples × 10,000+ features = 2,000,000+ data points</w:t>
      </w:r>
    </w:p>
    <w:p>
      <w:pPr>
        <w:pStyle w:val="Compact"/>
        <w:numPr>
          <w:ilvl w:val="0"/>
          <w:numId w:val="1003"/>
        </w:numPr>
      </w:pPr>
      <w:r>
        <w:t xml:space="preserve">Spatial data: 1,200 GPS points + environmental layers</w:t>
      </w:r>
    </w:p>
    <w:bookmarkEnd w:id="12"/>
    <w:bookmarkEnd w:id="13"/>
    <w:bookmarkStart w:id="17" w:name="data-collection-and-entry"/>
    <w:p>
      <w:pPr>
        <w:pStyle w:val="Heading2"/>
      </w:pPr>
      <w:r>
        <w:t xml:space="preserve">3. Data Collection and Entry</w:t>
      </w:r>
    </w:p>
    <w:bookmarkStart w:id="14" w:name="data-collection-methods"/>
    <w:p>
      <w:pPr>
        <w:pStyle w:val="Heading3"/>
      </w:pPr>
      <w:r>
        <w:t xml:space="preserve">3.1 Data Collection Methods</w:t>
      </w:r>
    </w:p>
    <w:p>
      <w:pPr>
        <w:pStyle w:val="Compact"/>
        <w:numPr>
          <w:ilvl w:val="0"/>
          <w:numId w:val="1004"/>
        </w:numPr>
      </w:pPr>
      <w:r>
        <w:rPr>
          <w:b/>
          <w:bCs/>
        </w:rPr>
        <w:t xml:space="preserve">Electronic Data Capture:</w:t>
      </w:r>
      <w:r>
        <w:t xml:space="preserve"> </w:t>
      </w:r>
      <w:r>
        <w:t xml:space="preserve">REDCap for survey data</w:t>
      </w:r>
    </w:p>
    <w:p>
      <w:pPr>
        <w:pStyle w:val="Compact"/>
        <w:numPr>
          <w:ilvl w:val="0"/>
          <w:numId w:val="1004"/>
        </w:numPr>
      </w:pPr>
      <w:r>
        <w:rPr>
          <w:b/>
          <w:bCs/>
        </w:rPr>
        <w:t xml:space="preserve">Mobile Data Collection:</w:t>
      </w:r>
      <w:r>
        <w:t xml:space="preserve"> </w:t>
      </w:r>
      <w:r>
        <w:t xml:space="preserve">Tablets for field data</w:t>
      </w:r>
    </w:p>
    <w:p>
      <w:pPr>
        <w:pStyle w:val="Compact"/>
        <w:numPr>
          <w:ilvl w:val="0"/>
          <w:numId w:val="1004"/>
        </w:numPr>
      </w:pPr>
      <w:r>
        <w:rPr>
          <w:b/>
          <w:bCs/>
        </w:rPr>
        <w:t xml:space="preserve">Direct Entry:</w:t>
      </w:r>
      <w:r>
        <w:t xml:space="preserve"> </w:t>
      </w:r>
      <w:r>
        <w:t xml:space="preserve">Laboratory information systems</w:t>
      </w:r>
    </w:p>
    <w:p>
      <w:pPr>
        <w:pStyle w:val="Compact"/>
        <w:numPr>
          <w:ilvl w:val="0"/>
          <w:numId w:val="1004"/>
        </w:numPr>
      </w:pPr>
      <w:r>
        <w:rPr>
          <w:b/>
          <w:bCs/>
        </w:rPr>
        <w:t xml:space="preserve">Paper Forms:</w:t>
      </w:r>
      <w:r>
        <w:t xml:space="preserve"> </w:t>
      </w:r>
      <w:r>
        <w:t xml:space="preserve">Scanned and entered for clinical data</w:t>
      </w:r>
    </w:p>
    <w:bookmarkEnd w:id="14"/>
    <w:bookmarkStart w:id="15" w:name="data-entry-procedures"/>
    <w:p>
      <w:pPr>
        <w:pStyle w:val="Heading3"/>
      </w:pPr>
      <w:r>
        <w:t xml:space="preserve">3.2 Data Entry Procedures</w:t>
      </w:r>
    </w:p>
    <w:p>
      <w:pPr>
        <w:pStyle w:val="Compact"/>
        <w:numPr>
          <w:ilvl w:val="0"/>
          <w:numId w:val="1005"/>
        </w:numPr>
      </w:pPr>
      <w:r>
        <w:rPr>
          <w:b/>
          <w:bCs/>
        </w:rPr>
        <w:t xml:space="preserve">Double Data Entry:</w:t>
      </w:r>
      <w:r>
        <w:t xml:space="preserve"> </w:t>
      </w:r>
      <w:r>
        <w:t xml:space="preserve">All critical data entered twice by different operators</w:t>
      </w:r>
    </w:p>
    <w:p>
      <w:pPr>
        <w:pStyle w:val="Compact"/>
        <w:numPr>
          <w:ilvl w:val="0"/>
          <w:numId w:val="1005"/>
        </w:numPr>
      </w:pPr>
      <w:r>
        <w:rPr>
          <w:b/>
          <w:bCs/>
        </w:rPr>
        <w:t xml:space="preserve">Validation Rules:</w:t>
      </w:r>
      <w:r>
        <w:t xml:space="preserve"> </w:t>
      </w:r>
      <w:r>
        <w:t xml:space="preserve">Range checks, logic checks, and skip patterns</w:t>
      </w:r>
    </w:p>
    <w:p>
      <w:pPr>
        <w:pStyle w:val="Compact"/>
        <w:numPr>
          <w:ilvl w:val="0"/>
          <w:numId w:val="1005"/>
        </w:numPr>
      </w:pPr>
      <w:r>
        <w:rPr>
          <w:b/>
          <w:bCs/>
        </w:rPr>
        <w:t xml:space="preserve">Real-time Validation:</w:t>
      </w:r>
      <w:r>
        <w:t xml:space="preserve"> </w:t>
      </w:r>
      <w:r>
        <w:t xml:space="preserve">Immediate feedback for data entry errors</w:t>
      </w:r>
    </w:p>
    <w:p>
      <w:pPr>
        <w:pStyle w:val="Compact"/>
        <w:numPr>
          <w:ilvl w:val="0"/>
          <w:numId w:val="1005"/>
        </w:numPr>
      </w:pPr>
      <w:r>
        <w:rPr>
          <w:b/>
          <w:bCs/>
        </w:rPr>
        <w:t xml:space="preserve">Audit Trail:</w:t>
      </w:r>
      <w:r>
        <w:t xml:space="preserve"> </w:t>
      </w:r>
      <w:r>
        <w:t xml:space="preserve">Automatic logging of all data modifications</w:t>
      </w:r>
    </w:p>
    <w:bookmarkEnd w:id="15"/>
    <w:bookmarkStart w:id="16" w:name="data-quality-control"/>
    <w:p>
      <w:pPr>
        <w:pStyle w:val="Heading3"/>
      </w:pPr>
      <w:r>
        <w:t xml:space="preserve">3.3 Data Quality Control</w:t>
      </w:r>
    </w:p>
    <w:p>
      <w:pPr>
        <w:pStyle w:val="Compact"/>
        <w:numPr>
          <w:ilvl w:val="0"/>
          <w:numId w:val="1006"/>
        </w:numPr>
      </w:pPr>
      <w:r>
        <w:rPr>
          <w:b/>
          <w:bCs/>
        </w:rPr>
        <w:t xml:space="preserve">Training:</w:t>
      </w:r>
      <w:r>
        <w:t xml:space="preserve"> </w:t>
      </w:r>
      <w:r>
        <w:t xml:space="preserve">Standardized training for all data entry personnel</w:t>
      </w:r>
    </w:p>
    <w:p>
      <w:pPr>
        <w:pStyle w:val="Compact"/>
        <w:numPr>
          <w:ilvl w:val="0"/>
          <w:numId w:val="1006"/>
        </w:numPr>
      </w:pPr>
      <w:r>
        <w:rPr>
          <w:b/>
          <w:bCs/>
        </w:rPr>
        <w:t xml:space="preserve">Supervision:</w:t>
      </w:r>
      <w:r>
        <w:t xml:space="preserve"> </w:t>
      </w:r>
      <w:r>
        <w:t xml:space="preserve">Senior staff review of 10% of entries</w:t>
      </w:r>
    </w:p>
    <w:p>
      <w:pPr>
        <w:pStyle w:val="Compact"/>
        <w:numPr>
          <w:ilvl w:val="0"/>
          <w:numId w:val="1006"/>
        </w:numPr>
      </w:pPr>
      <w:r>
        <w:rPr>
          <w:b/>
          <w:bCs/>
        </w:rPr>
        <w:t xml:space="preserve">Error Monitoring:</w:t>
      </w:r>
      <w:r>
        <w:t xml:space="preserve"> </w:t>
      </w:r>
      <w:r>
        <w:t xml:space="preserve">Weekly error rate reporting (&lt;1% target)</w:t>
      </w:r>
    </w:p>
    <w:p>
      <w:pPr>
        <w:pStyle w:val="Compact"/>
        <w:numPr>
          <w:ilvl w:val="0"/>
          <w:numId w:val="1006"/>
        </w:numPr>
      </w:pPr>
      <w:r>
        <w:rPr>
          <w:b/>
          <w:bCs/>
        </w:rPr>
        <w:t xml:space="preserve">Corrective Actions:</w:t>
      </w:r>
      <w:r>
        <w:t xml:space="preserve"> </w:t>
      </w:r>
      <w:r>
        <w:t xml:space="preserve">Retraining and process improvements</w:t>
      </w:r>
    </w:p>
    <w:bookmarkEnd w:id="16"/>
    <w:bookmarkEnd w:id="17"/>
    <w:bookmarkStart w:id="21" w:name="data-storage-and-security"/>
    <w:p>
      <w:pPr>
        <w:pStyle w:val="Heading2"/>
      </w:pPr>
      <w:r>
        <w:t xml:space="preserve">4. Data Storage and Security</w:t>
      </w:r>
    </w:p>
    <w:bookmarkStart w:id="18" w:name="storage-infrastructure"/>
    <w:p>
      <w:pPr>
        <w:pStyle w:val="Heading3"/>
      </w:pPr>
      <w:r>
        <w:t xml:space="preserve">4.1 Storage Infrastructure</w:t>
      </w:r>
    </w:p>
    <w:p>
      <w:pPr>
        <w:pStyle w:val="Compact"/>
        <w:numPr>
          <w:ilvl w:val="0"/>
          <w:numId w:val="1007"/>
        </w:numPr>
      </w:pPr>
      <w:r>
        <w:rPr>
          <w:b/>
          <w:bCs/>
        </w:rPr>
        <w:t xml:space="preserve">Primary Storage:</w:t>
      </w:r>
      <w:r>
        <w:t xml:space="preserve"> </w:t>
      </w:r>
      <w:r>
        <w:t xml:space="preserve">Secure institutional servers</w:t>
      </w:r>
    </w:p>
    <w:p>
      <w:pPr>
        <w:pStyle w:val="Compact"/>
        <w:numPr>
          <w:ilvl w:val="0"/>
          <w:numId w:val="1007"/>
        </w:numPr>
      </w:pPr>
      <w:r>
        <w:rPr>
          <w:b/>
          <w:bCs/>
        </w:rPr>
        <w:t xml:space="preserve">Backup Storage:</w:t>
      </w:r>
      <w:r>
        <w:t xml:space="preserve"> </w:t>
      </w:r>
      <w:r>
        <w:t xml:space="preserve">Encrypted external hard drives and cloud storage</w:t>
      </w:r>
    </w:p>
    <w:p>
      <w:pPr>
        <w:pStyle w:val="Compact"/>
        <w:numPr>
          <w:ilvl w:val="0"/>
          <w:numId w:val="1007"/>
        </w:numPr>
      </w:pPr>
      <w:r>
        <w:rPr>
          <w:b/>
          <w:bCs/>
        </w:rPr>
        <w:t xml:space="preserve">Long-term Archive:</w:t>
      </w:r>
      <w:r>
        <w:t xml:space="preserve"> </w:t>
      </w:r>
      <w:r>
        <w:t xml:space="preserve">Institutional data repository</w:t>
      </w:r>
    </w:p>
    <w:p>
      <w:pPr>
        <w:pStyle w:val="Compact"/>
        <w:numPr>
          <w:ilvl w:val="0"/>
          <w:numId w:val="1007"/>
        </w:numPr>
      </w:pPr>
      <w:r>
        <w:rPr>
          <w:b/>
          <w:bCs/>
        </w:rPr>
        <w:t xml:space="preserve">Biological Samples:</w:t>
      </w:r>
      <w:r>
        <w:t xml:space="preserve"> </w:t>
      </w:r>
      <w:r>
        <w:t xml:space="preserve">-80°C freezers with temperature monitoring</w:t>
      </w:r>
    </w:p>
    <w:bookmarkEnd w:id="18"/>
    <w:bookmarkStart w:id="19" w:name="security-measures"/>
    <w:p>
      <w:pPr>
        <w:pStyle w:val="Heading3"/>
      </w:pPr>
      <w:r>
        <w:t xml:space="preserve">4.2 Security Measures</w:t>
      </w:r>
    </w:p>
    <w:p>
      <w:pPr>
        <w:pStyle w:val="Compact"/>
        <w:numPr>
          <w:ilvl w:val="0"/>
          <w:numId w:val="1008"/>
        </w:numPr>
      </w:pPr>
      <w:r>
        <w:rPr>
          <w:b/>
          <w:bCs/>
        </w:rPr>
        <w:t xml:space="preserve">Access Control:</w:t>
      </w:r>
      <w:r>
        <w:t xml:space="preserve"> </w:t>
      </w:r>
      <w:r>
        <w:t xml:space="preserve">Role-based access permissions</w:t>
      </w:r>
    </w:p>
    <w:p>
      <w:pPr>
        <w:pStyle w:val="Compact"/>
        <w:numPr>
          <w:ilvl w:val="0"/>
          <w:numId w:val="1008"/>
        </w:numPr>
      </w:pPr>
      <w:r>
        <w:rPr>
          <w:b/>
          <w:bCs/>
        </w:rPr>
        <w:t xml:space="preserve">Encryption:</w:t>
      </w:r>
      <w:r>
        <w:t xml:space="preserve"> </w:t>
      </w:r>
      <w:r>
        <w:t xml:space="preserve">Data encrypted at rest and in transit</w:t>
      </w:r>
    </w:p>
    <w:p>
      <w:pPr>
        <w:pStyle w:val="Compact"/>
        <w:numPr>
          <w:ilvl w:val="0"/>
          <w:numId w:val="1008"/>
        </w:numPr>
      </w:pPr>
      <w:r>
        <w:rPr>
          <w:b/>
          <w:bCs/>
        </w:rPr>
        <w:t xml:space="preserve">Password Protection:</w:t>
      </w:r>
      <w:r>
        <w:t xml:space="preserve"> </w:t>
      </w:r>
      <w:r>
        <w:t xml:space="preserve">Complex passwords with regular changes</w:t>
      </w:r>
    </w:p>
    <w:p>
      <w:pPr>
        <w:pStyle w:val="Compact"/>
        <w:numPr>
          <w:ilvl w:val="0"/>
          <w:numId w:val="1008"/>
        </w:numPr>
      </w:pPr>
      <w:r>
        <w:rPr>
          <w:b/>
          <w:bCs/>
        </w:rPr>
        <w:t xml:space="preserve">Physical Security:</w:t>
      </w:r>
      <w:r>
        <w:t xml:space="preserve"> </w:t>
      </w:r>
      <w:r>
        <w:t xml:space="preserve">Server room access controls</w:t>
      </w:r>
    </w:p>
    <w:bookmarkEnd w:id="19"/>
    <w:bookmarkStart w:id="20" w:name="data-backup-strategy"/>
    <w:p>
      <w:pPr>
        <w:pStyle w:val="Heading3"/>
      </w:pPr>
      <w:r>
        <w:t xml:space="preserve">4.3 Data Backup Strategy</w:t>
      </w:r>
    </w:p>
    <w:p>
      <w:pPr>
        <w:pStyle w:val="Compact"/>
        <w:numPr>
          <w:ilvl w:val="0"/>
          <w:numId w:val="1009"/>
        </w:numPr>
      </w:pPr>
      <w:r>
        <w:rPr>
          <w:b/>
          <w:bCs/>
        </w:rPr>
        <w:t xml:space="preserve">Frequency:</w:t>
      </w:r>
      <w:r>
        <w:t xml:space="preserve"> </w:t>
      </w:r>
      <w:r>
        <w:t xml:space="preserve">Daily automated backups</w:t>
      </w:r>
    </w:p>
    <w:p>
      <w:pPr>
        <w:pStyle w:val="Compact"/>
        <w:numPr>
          <w:ilvl w:val="0"/>
          <w:numId w:val="1009"/>
        </w:numPr>
      </w:pPr>
      <w:r>
        <w:rPr>
          <w:b/>
          <w:bCs/>
        </w:rPr>
        <w:t xml:space="preserve">Locations:</w:t>
      </w:r>
      <w:r>
        <w:t xml:space="preserve"> </w:t>
      </w:r>
      <w:r>
        <w:t xml:space="preserve">On-site and off-site storage</w:t>
      </w:r>
    </w:p>
    <w:p>
      <w:pPr>
        <w:pStyle w:val="Compact"/>
        <w:numPr>
          <w:ilvl w:val="0"/>
          <w:numId w:val="1009"/>
        </w:numPr>
      </w:pPr>
      <w:r>
        <w:rPr>
          <w:b/>
          <w:bCs/>
        </w:rPr>
        <w:t xml:space="preserve">Testing:</w:t>
      </w:r>
      <w:r>
        <w:t xml:space="preserve"> </w:t>
      </w:r>
      <w:r>
        <w:t xml:space="preserve">Monthly backup restoration tests</w:t>
      </w:r>
    </w:p>
    <w:p>
      <w:pPr>
        <w:pStyle w:val="Compact"/>
        <w:numPr>
          <w:ilvl w:val="0"/>
          <w:numId w:val="1009"/>
        </w:numPr>
      </w:pPr>
      <w:r>
        <w:rPr>
          <w:b/>
          <w:bCs/>
        </w:rPr>
        <w:t xml:space="preserve">Retention:</w:t>
      </w:r>
      <w:r>
        <w:t xml:space="preserve"> </w:t>
      </w:r>
      <w:r>
        <w:t xml:space="preserve">Multiple backup generations maintained</w:t>
      </w:r>
    </w:p>
    <w:bookmarkEnd w:id="20"/>
    <w:bookmarkEnd w:id="21"/>
    <w:bookmarkStart w:id="25" w:name="data-processing-and-analysis"/>
    <w:p>
      <w:pPr>
        <w:pStyle w:val="Heading2"/>
      </w:pPr>
      <w:r>
        <w:t xml:space="preserve">5. Data Processing and Analysis</w:t>
      </w:r>
    </w:p>
    <w:bookmarkStart w:id="22" w:name="data-cleaning"/>
    <w:p>
      <w:pPr>
        <w:pStyle w:val="Heading3"/>
      </w:pPr>
      <w:r>
        <w:t xml:space="preserve">5.1 Data Cleaning</w:t>
      </w:r>
    </w:p>
    <w:p>
      <w:pPr>
        <w:pStyle w:val="Compact"/>
        <w:numPr>
          <w:ilvl w:val="0"/>
          <w:numId w:val="1010"/>
        </w:numPr>
      </w:pPr>
      <w:r>
        <w:rPr>
          <w:b/>
          <w:bCs/>
        </w:rPr>
        <w:t xml:space="preserve">Outlier Detection:</w:t>
      </w:r>
      <w:r>
        <w:t xml:space="preserve"> </w:t>
      </w:r>
      <w:r>
        <w:t xml:space="preserve">Statistical methods and expert review</w:t>
      </w:r>
    </w:p>
    <w:p>
      <w:pPr>
        <w:pStyle w:val="Compact"/>
        <w:numPr>
          <w:ilvl w:val="0"/>
          <w:numId w:val="1010"/>
        </w:numPr>
      </w:pPr>
      <w:r>
        <w:rPr>
          <w:b/>
          <w:bCs/>
        </w:rPr>
        <w:t xml:space="preserve">Missing Data Handling:</w:t>
      </w:r>
      <w:r>
        <w:t xml:space="preserve"> </w:t>
      </w:r>
      <w:r>
        <w:t xml:space="preserve">Multiple imputation techniques</w:t>
      </w:r>
    </w:p>
    <w:p>
      <w:pPr>
        <w:pStyle w:val="Compact"/>
        <w:numPr>
          <w:ilvl w:val="0"/>
          <w:numId w:val="1010"/>
        </w:numPr>
      </w:pPr>
      <w:r>
        <w:rPr>
          <w:b/>
          <w:bCs/>
        </w:rPr>
        <w:t xml:space="preserve">Consistency Checks:</w:t>
      </w:r>
      <w:r>
        <w:t xml:space="preserve"> </w:t>
      </w:r>
      <w:r>
        <w:t xml:space="preserve">Cross-validation between related variables</w:t>
      </w:r>
    </w:p>
    <w:p>
      <w:pPr>
        <w:pStyle w:val="Compact"/>
        <w:numPr>
          <w:ilvl w:val="0"/>
          <w:numId w:val="1010"/>
        </w:numPr>
      </w:pPr>
      <w:r>
        <w:rPr>
          <w:b/>
          <w:bCs/>
        </w:rPr>
        <w:t xml:space="preserve">Documentation:</w:t>
      </w:r>
      <w:r>
        <w:t xml:space="preserve"> </w:t>
      </w:r>
      <w:r>
        <w:t xml:space="preserve">All cleaning decisions logged</w:t>
      </w:r>
    </w:p>
    <w:bookmarkEnd w:id="22"/>
    <w:bookmarkStart w:id="23" w:name="data-transformation"/>
    <w:p>
      <w:pPr>
        <w:pStyle w:val="Heading3"/>
      </w:pPr>
      <w:r>
        <w:t xml:space="preserve">5.2 Data Transformation</w:t>
      </w:r>
    </w:p>
    <w:p>
      <w:pPr>
        <w:pStyle w:val="Compact"/>
        <w:numPr>
          <w:ilvl w:val="0"/>
          <w:numId w:val="1011"/>
        </w:numPr>
      </w:pPr>
      <w:r>
        <w:rPr>
          <w:b/>
          <w:bCs/>
        </w:rPr>
        <w:t xml:space="preserve">Coding:</w:t>
      </w:r>
      <w:r>
        <w:t xml:space="preserve"> </w:t>
      </w:r>
      <w:r>
        <w:t xml:space="preserve">Categorical variables coded for analysis</w:t>
      </w:r>
    </w:p>
    <w:p>
      <w:pPr>
        <w:pStyle w:val="Compact"/>
        <w:numPr>
          <w:ilvl w:val="0"/>
          <w:numId w:val="1011"/>
        </w:numPr>
      </w:pPr>
      <w:r>
        <w:rPr>
          <w:b/>
          <w:bCs/>
        </w:rPr>
        <w:t xml:space="preserve">Scaling:</w:t>
      </w:r>
      <w:r>
        <w:t xml:space="preserve"> </w:t>
      </w:r>
      <w:r>
        <w:t xml:space="preserve">Continuous variables normalized where appropriate</w:t>
      </w:r>
    </w:p>
    <w:p>
      <w:pPr>
        <w:pStyle w:val="Compact"/>
        <w:numPr>
          <w:ilvl w:val="0"/>
          <w:numId w:val="1011"/>
        </w:numPr>
      </w:pPr>
      <w:r>
        <w:rPr>
          <w:b/>
          <w:bCs/>
        </w:rPr>
        <w:t xml:space="preserve">Derived Variables:</w:t>
      </w:r>
      <w:r>
        <w:t xml:space="preserve"> </w:t>
      </w:r>
      <w:r>
        <w:t xml:space="preserve">Creation of composite scores and indices</w:t>
      </w:r>
    </w:p>
    <w:p>
      <w:pPr>
        <w:pStyle w:val="Compact"/>
        <w:numPr>
          <w:ilvl w:val="0"/>
          <w:numId w:val="1011"/>
        </w:numPr>
      </w:pPr>
      <w:r>
        <w:rPr>
          <w:b/>
          <w:bCs/>
        </w:rPr>
        <w:t xml:space="preserve">Version Control:</w:t>
      </w:r>
      <w:r>
        <w:t xml:space="preserve"> </w:t>
      </w:r>
      <w:r>
        <w:t xml:space="preserve">Original and derived datasets maintained</w:t>
      </w:r>
    </w:p>
    <w:bookmarkEnd w:id="23"/>
    <w:bookmarkStart w:id="24" w:name="statistical-analysis-environment"/>
    <w:p>
      <w:pPr>
        <w:pStyle w:val="Heading3"/>
      </w:pPr>
      <w:r>
        <w:t xml:space="preserve">5.3 Statistical Analysis Environment</w:t>
      </w:r>
    </w:p>
    <w:p>
      <w:pPr>
        <w:pStyle w:val="Compact"/>
        <w:numPr>
          <w:ilvl w:val="0"/>
          <w:numId w:val="1012"/>
        </w:numPr>
      </w:pPr>
      <w:r>
        <w:rPr>
          <w:b/>
          <w:bCs/>
        </w:rPr>
        <w:t xml:space="preserve">Software:</w:t>
      </w:r>
      <w:r>
        <w:t xml:space="preserve"> </w:t>
      </w:r>
      <w:r>
        <w:t xml:space="preserve">R, Stata, SPSS with version control</w:t>
      </w:r>
    </w:p>
    <w:p>
      <w:pPr>
        <w:pStyle w:val="Compact"/>
        <w:numPr>
          <w:ilvl w:val="0"/>
          <w:numId w:val="1012"/>
        </w:numPr>
      </w:pPr>
      <w:r>
        <w:rPr>
          <w:b/>
          <w:bCs/>
        </w:rPr>
        <w:t xml:space="preserve">Reproducibility:</w:t>
      </w:r>
      <w:r>
        <w:t xml:space="preserve"> </w:t>
      </w:r>
      <w:r>
        <w:t xml:space="preserve">R Markdown for analysis scripts</w:t>
      </w:r>
    </w:p>
    <w:p>
      <w:pPr>
        <w:pStyle w:val="Compact"/>
        <w:numPr>
          <w:ilvl w:val="0"/>
          <w:numId w:val="1012"/>
        </w:numPr>
      </w:pPr>
      <w:r>
        <w:rPr>
          <w:b/>
          <w:bCs/>
        </w:rPr>
        <w:t xml:space="preserve">Code Review:</w:t>
      </w:r>
      <w:r>
        <w:t xml:space="preserve"> </w:t>
      </w:r>
      <w:r>
        <w:t xml:space="preserve">Peer review of analysis code</w:t>
      </w:r>
    </w:p>
    <w:p>
      <w:pPr>
        <w:pStyle w:val="Compact"/>
        <w:numPr>
          <w:ilvl w:val="0"/>
          <w:numId w:val="1012"/>
        </w:numPr>
      </w:pPr>
      <w:r>
        <w:rPr>
          <w:b/>
          <w:bCs/>
        </w:rPr>
        <w:t xml:space="preserve">Documentation:</w:t>
      </w:r>
      <w:r>
        <w:t xml:space="preserve"> </w:t>
      </w:r>
      <w:r>
        <w:t xml:space="preserve">Detailed code comments and metadata</w:t>
      </w:r>
    </w:p>
    <w:bookmarkEnd w:id="24"/>
    <w:bookmarkEnd w:id="25"/>
    <w:bookmarkStart w:id="29" w:name="data-sharing-and-access"/>
    <w:p>
      <w:pPr>
        <w:pStyle w:val="Heading2"/>
      </w:pPr>
      <w:r>
        <w:t xml:space="preserve">6. Data Sharing and Access</w:t>
      </w:r>
    </w:p>
    <w:bookmarkStart w:id="26" w:name="internal-access"/>
    <w:p>
      <w:pPr>
        <w:pStyle w:val="Heading3"/>
      </w:pPr>
      <w:r>
        <w:t xml:space="preserve">6.1 Internal Access</w:t>
      </w:r>
    </w:p>
    <w:p>
      <w:pPr>
        <w:pStyle w:val="Compact"/>
        <w:numPr>
          <w:ilvl w:val="0"/>
          <w:numId w:val="1013"/>
        </w:numPr>
      </w:pPr>
      <w:r>
        <w:rPr>
          <w:b/>
          <w:bCs/>
        </w:rPr>
        <w:t xml:space="preserve">Research Team:</w:t>
      </w:r>
      <w:r>
        <w:t xml:space="preserve"> </w:t>
      </w:r>
      <w:r>
        <w:t xml:space="preserve">Access based on roles and responsibilities</w:t>
      </w:r>
    </w:p>
    <w:p>
      <w:pPr>
        <w:pStyle w:val="Compact"/>
        <w:numPr>
          <w:ilvl w:val="0"/>
          <w:numId w:val="1013"/>
        </w:numPr>
      </w:pPr>
      <w:r>
        <w:rPr>
          <w:b/>
          <w:bCs/>
        </w:rPr>
        <w:t xml:space="preserve">Supervisors:</w:t>
      </w:r>
      <w:r>
        <w:t xml:space="preserve"> </w:t>
      </w:r>
      <w:r>
        <w:t xml:space="preserve">Full access to team data</w:t>
      </w:r>
    </w:p>
    <w:p>
      <w:pPr>
        <w:pStyle w:val="Compact"/>
        <w:numPr>
          <w:ilvl w:val="0"/>
          <w:numId w:val="1013"/>
        </w:numPr>
      </w:pPr>
      <w:r>
        <w:rPr>
          <w:b/>
          <w:bCs/>
        </w:rPr>
        <w:t xml:space="preserve">External Collaborators:</w:t>
      </w:r>
      <w:r>
        <w:t xml:space="preserve"> </w:t>
      </w:r>
      <w:r>
        <w:t xml:space="preserve">Limited access with data use agreements</w:t>
      </w:r>
    </w:p>
    <w:bookmarkEnd w:id="26"/>
    <w:bookmarkStart w:id="27" w:name="data-sharing-policies"/>
    <w:p>
      <w:pPr>
        <w:pStyle w:val="Heading3"/>
      </w:pPr>
      <w:r>
        <w:t xml:space="preserve">6.2 Data Sharing Policies</w:t>
      </w:r>
    </w:p>
    <w:p>
      <w:pPr>
        <w:pStyle w:val="Compact"/>
        <w:numPr>
          <w:ilvl w:val="0"/>
          <w:numId w:val="1014"/>
        </w:numPr>
      </w:pPr>
      <w:r>
        <w:rPr>
          <w:b/>
          <w:bCs/>
        </w:rPr>
        <w:t xml:space="preserve">De-identified Data:</w:t>
      </w:r>
      <w:r>
        <w:t xml:space="preserve"> </w:t>
      </w:r>
      <w:r>
        <w:t xml:space="preserve">Aggregate results shared publicly</w:t>
      </w:r>
    </w:p>
    <w:p>
      <w:pPr>
        <w:pStyle w:val="Compact"/>
        <w:numPr>
          <w:ilvl w:val="0"/>
          <w:numId w:val="1014"/>
        </w:numPr>
      </w:pPr>
      <w:r>
        <w:rPr>
          <w:b/>
          <w:bCs/>
        </w:rPr>
        <w:t xml:space="preserve">Individual Data:</w:t>
      </w:r>
      <w:r>
        <w:t xml:space="preserve"> </w:t>
      </w:r>
      <w:r>
        <w:t xml:space="preserve">Not shared without consent</w:t>
      </w:r>
    </w:p>
    <w:p>
      <w:pPr>
        <w:pStyle w:val="Compact"/>
        <w:numPr>
          <w:ilvl w:val="0"/>
          <w:numId w:val="1014"/>
        </w:numPr>
      </w:pPr>
      <w:r>
        <w:rPr>
          <w:b/>
          <w:bCs/>
        </w:rPr>
        <w:t xml:space="preserve">Collaborative Research:</w:t>
      </w:r>
      <w:r>
        <w:t xml:space="preserve"> </w:t>
      </w:r>
      <w:r>
        <w:t xml:space="preserve">Data use agreements required</w:t>
      </w:r>
    </w:p>
    <w:p>
      <w:pPr>
        <w:pStyle w:val="Compact"/>
        <w:numPr>
          <w:ilvl w:val="0"/>
          <w:numId w:val="1014"/>
        </w:numPr>
      </w:pPr>
      <w:r>
        <w:rPr>
          <w:b/>
          <w:bCs/>
        </w:rPr>
        <w:t xml:space="preserve">Publication:</w:t>
      </w:r>
      <w:r>
        <w:t xml:space="preserve"> </w:t>
      </w:r>
      <w:r>
        <w:t xml:space="preserve">Acknowledgment of data sources</w:t>
      </w:r>
    </w:p>
    <w:bookmarkEnd w:id="27"/>
    <w:bookmarkStart w:id="28" w:name="metadata-management"/>
    <w:p>
      <w:pPr>
        <w:pStyle w:val="Heading3"/>
      </w:pPr>
      <w:r>
        <w:t xml:space="preserve">6.3 Metadata Management</w:t>
      </w:r>
    </w:p>
    <w:p>
      <w:pPr>
        <w:pStyle w:val="Compact"/>
        <w:numPr>
          <w:ilvl w:val="0"/>
          <w:numId w:val="1015"/>
        </w:numPr>
      </w:pPr>
      <w:r>
        <w:rPr>
          <w:b/>
          <w:bCs/>
        </w:rPr>
        <w:t xml:space="preserve">Data Dictionary:</w:t>
      </w:r>
      <w:r>
        <w:t xml:space="preserve"> </w:t>
      </w:r>
      <w:r>
        <w:t xml:space="preserve">Comprehensive variable descriptions</w:t>
      </w:r>
    </w:p>
    <w:p>
      <w:pPr>
        <w:pStyle w:val="Compact"/>
        <w:numPr>
          <w:ilvl w:val="0"/>
          <w:numId w:val="1015"/>
        </w:numPr>
      </w:pPr>
      <w:r>
        <w:rPr>
          <w:b/>
          <w:bCs/>
        </w:rPr>
        <w:t xml:space="preserve">Codebooks:</w:t>
      </w:r>
      <w:r>
        <w:t xml:space="preserve"> </w:t>
      </w:r>
      <w:r>
        <w:t xml:space="preserve">Detailed coding information</w:t>
      </w:r>
    </w:p>
    <w:p>
      <w:pPr>
        <w:pStyle w:val="Compact"/>
        <w:numPr>
          <w:ilvl w:val="0"/>
          <w:numId w:val="1015"/>
        </w:numPr>
      </w:pPr>
      <w:r>
        <w:rPr>
          <w:b/>
          <w:bCs/>
        </w:rPr>
        <w:t xml:space="preserve">Processing Logs:</w:t>
      </w:r>
      <w:r>
        <w:t xml:space="preserve"> </w:t>
      </w:r>
      <w:r>
        <w:t xml:space="preserve">Documentation of all data manipulations</w:t>
      </w:r>
    </w:p>
    <w:p>
      <w:pPr>
        <w:pStyle w:val="Compact"/>
        <w:numPr>
          <w:ilvl w:val="0"/>
          <w:numId w:val="1015"/>
        </w:numPr>
      </w:pPr>
      <w:r>
        <w:rPr>
          <w:b/>
          <w:bCs/>
        </w:rPr>
        <w:t xml:space="preserve">Version History:</w:t>
      </w:r>
      <w:r>
        <w:t xml:space="preserve"> </w:t>
      </w:r>
      <w:r>
        <w:t xml:space="preserve">Tracking of dataset changes</w:t>
      </w:r>
    </w:p>
    <w:bookmarkEnd w:id="28"/>
    <w:bookmarkEnd w:id="29"/>
    <w:bookmarkStart w:id="32" w:name="data-retention-and-destruction"/>
    <w:p>
      <w:pPr>
        <w:pStyle w:val="Heading2"/>
      </w:pPr>
      <w:r>
        <w:t xml:space="preserve">7. Data Retention and Destruction</w:t>
      </w:r>
    </w:p>
    <w:bookmarkStart w:id="30" w:name="retention-periods"/>
    <w:p>
      <w:pPr>
        <w:pStyle w:val="Heading3"/>
      </w:pPr>
      <w:r>
        <w:t xml:space="preserve">7.1 Retention Periods</w:t>
      </w:r>
    </w:p>
    <w:p>
      <w:pPr>
        <w:pStyle w:val="Compact"/>
        <w:numPr>
          <w:ilvl w:val="0"/>
          <w:numId w:val="1016"/>
        </w:numPr>
      </w:pPr>
      <w:r>
        <w:rPr>
          <w:b/>
          <w:bCs/>
        </w:rPr>
        <w:t xml:space="preserve">Study Data:</w:t>
      </w:r>
      <w:r>
        <w:t xml:space="preserve"> </w:t>
      </w:r>
      <w:r>
        <w:t xml:space="preserve">5 years after final publication</w:t>
      </w:r>
    </w:p>
    <w:p>
      <w:pPr>
        <w:pStyle w:val="Compact"/>
        <w:numPr>
          <w:ilvl w:val="0"/>
          <w:numId w:val="1016"/>
        </w:numPr>
      </w:pPr>
      <w:r>
        <w:rPr>
          <w:b/>
          <w:bCs/>
        </w:rPr>
        <w:t xml:space="preserve">Biological Samples:</w:t>
      </w:r>
      <w:r>
        <w:t xml:space="preserve"> </w:t>
      </w:r>
      <w:r>
        <w:t xml:space="preserve">As per ethical guidelines (typically 5-10 years)</w:t>
      </w:r>
    </w:p>
    <w:p>
      <w:pPr>
        <w:pStyle w:val="Compact"/>
        <w:numPr>
          <w:ilvl w:val="0"/>
          <w:numId w:val="1016"/>
        </w:numPr>
      </w:pPr>
      <w:r>
        <w:rPr>
          <w:b/>
          <w:bCs/>
        </w:rPr>
        <w:t xml:space="preserve">Consent Forms:</w:t>
      </w:r>
      <w:r>
        <w:t xml:space="preserve"> </w:t>
      </w:r>
      <w:r>
        <w:t xml:space="preserve">5 years minimum</w:t>
      </w:r>
    </w:p>
    <w:p>
      <w:pPr>
        <w:pStyle w:val="Compact"/>
        <w:numPr>
          <w:ilvl w:val="0"/>
          <w:numId w:val="1016"/>
        </w:numPr>
      </w:pPr>
      <w:r>
        <w:rPr>
          <w:b/>
          <w:bCs/>
        </w:rPr>
        <w:t xml:space="preserve">Administrative Records:</w:t>
      </w:r>
      <w:r>
        <w:t xml:space="preserve"> </w:t>
      </w:r>
      <w:r>
        <w:t xml:space="preserve">7 years</w:t>
      </w:r>
    </w:p>
    <w:bookmarkEnd w:id="30"/>
    <w:bookmarkStart w:id="31" w:name="data-destruction-procedures"/>
    <w:p>
      <w:pPr>
        <w:pStyle w:val="Heading3"/>
      </w:pPr>
      <w:r>
        <w:t xml:space="preserve">7.2 Data Destruction Procedures</w:t>
      </w:r>
    </w:p>
    <w:p>
      <w:pPr>
        <w:pStyle w:val="Compact"/>
        <w:numPr>
          <w:ilvl w:val="0"/>
          <w:numId w:val="1017"/>
        </w:numPr>
      </w:pPr>
      <w:r>
        <w:rPr>
          <w:b/>
          <w:bCs/>
        </w:rPr>
        <w:t xml:space="preserve">Secure Deletion:</w:t>
      </w:r>
      <w:r>
        <w:t xml:space="preserve"> </w:t>
      </w:r>
      <w:r>
        <w:t xml:space="preserve">Data wiped using DoD 5220.22-M standards</w:t>
      </w:r>
    </w:p>
    <w:p>
      <w:pPr>
        <w:pStyle w:val="Compact"/>
        <w:numPr>
          <w:ilvl w:val="0"/>
          <w:numId w:val="1017"/>
        </w:numPr>
      </w:pPr>
      <w:r>
        <w:rPr>
          <w:b/>
          <w:bCs/>
        </w:rPr>
        <w:t xml:space="preserve">Physical Destruction:</w:t>
      </w:r>
      <w:r>
        <w:t xml:space="preserve"> </w:t>
      </w:r>
      <w:r>
        <w:t xml:space="preserve">Paper documents shredded</w:t>
      </w:r>
    </w:p>
    <w:p>
      <w:pPr>
        <w:pStyle w:val="Compact"/>
        <w:numPr>
          <w:ilvl w:val="0"/>
          <w:numId w:val="1017"/>
        </w:numPr>
      </w:pPr>
      <w:r>
        <w:rPr>
          <w:b/>
          <w:bCs/>
        </w:rPr>
        <w:t xml:space="preserve">Sample Destruction:</w:t>
      </w:r>
      <w:r>
        <w:t xml:space="preserve"> </w:t>
      </w:r>
      <w:r>
        <w:t xml:space="preserve">Biological samples autoclaved/incinerated</w:t>
      </w:r>
    </w:p>
    <w:p>
      <w:pPr>
        <w:pStyle w:val="Compact"/>
        <w:numPr>
          <w:ilvl w:val="0"/>
          <w:numId w:val="1017"/>
        </w:numPr>
      </w:pPr>
      <w:r>
        <w:rPr>
          <w:b/>
          <w:bCs/>
        </w:rPr>
        <w:t xml:space="preserve">Documentation:</w:t>
      </w:r>
      <w:r>
        <w:t xml:space="preserve"> </w:t>
      </w:r>
      <w:r>
        <w:t xml:space="preserve">Destruction certificates maintained</w:t>
      </w:r>
    </w:p>
    <w:bookmarkEnd w:id="31"/>
    <w:bookmarkEnd w:id="32"/>
    <w:bookmarkStart w:id="36" w:name="quality-assurance-and-monitoring"/>
    <w:p>
      <w:pPr>
        <w:pStyle w:val="Heading2"/>
      </w:pPr>
      <w:r>
        <w:t xml:space="preserve">8. Quality Assurance and Monitoring</w:t>
      </w:r>
    </w:p>
    <w:bookmarkStart w:id="33" w:name="data-quality-metrics"/>
    <w:p>
      <w:pPr>
        <w:pStyle w:val="Heading3"/>
      </w:pPr>
      <w:r>
        <w:t xml:space="preserve">8.1 Data Quality Metrics</w:t>
      </w:r>
    </w:p>
    <w:p>
      <w:pPr>
        <w:pStyle w:val="Compact"/>
        <w:numPr>
          <w:ilvl w:val="0"/>
          <w:numId w:val="1018"/>
        </w:numPr>
      </w:pPr>
      <w:r>
        <w:rPr>
          <w:b/>
          <w:bCs/>
        </w:rPr>
        <w:t xml:space="preserve">Completeness:</w:t>
      </w:r>
      <w:r>
        <w:t xml:space="preserve"> </w:t>
      </w:r>
      <w:r>
        <w:t xml:space="preserve">Percentage of missing data (&lt;5% target)</w:t>
      </w:r>
    </w:p>
    <w:p>
      <w:pPr>
        <w:pStyle w:val="Compact"/>
        <w:numPr>
          <w:ilvl w:val="0"/>
          <w:numId w:val="1018"/>
        </w:numPr>
      </w:pPr>
      <w:r>
        <w:rPr>
          <w:b/>
          <w:bCs/>
        </w:rPr>
        <w:t xml:space="preserve">Accuracy:</w:t>
      </w:r>
      <w:r>
        <w:t xml:space="preserve"> </w:t>
      </w:r>
      <w:r>
        <w:t xml:space="preserve">Error rates in data entry and processing</w:t>
      </w:r>
    </w:p>
    <w:p>
      <w:pPr>
        <w:pStyle w:val="Compact"/>
        <w:numPr>
          <w:ilvl w:val="0"/>
          <w:numId w:val="1018"/>
        </w:numPr>
      </w:pPr>
      <w:r>
        <w:rPr>
          <w:b/>
          <w:bCs/>
        </w:rPr>
        <w:t xml:space="preserve">Consistency:</w:t>
      </w:r>
      <w:r>
        <w:t xml:space="preserve"> </w:t>
      </w:r>
      <w:r>
        <w:t xml:space="preserve">Agreement between related variables</w:t>
      </w:r>
    </w:p>
    <w:p>
      <w:pPr>
        <w:pStyle w:val="Compact"/>
        <w:numPr>
          <w:ilvl w:val="0"/>
          <w:numId w:val="1018"/>
        </w:numPr>
      </w:pPr>
      <w:r>
        <w:rPr>
          <w:b/>
          <w:bCs/>
        </w:rPr>
        <w:t xml:space="preserve">Timeliness:</w:t>
      </w:r>
      <w:r>
        <w:t xml:space="preserve"> </w:t>
      </w:r>
      <w:r>
        <w:t xml:space="preserve">Data availability for analysis</w:t>
      </w:r>
    </w:p>
    <w:bookmarkEnd w:id="33"/>
    <w:bookmarkStart w:id="34" w:name="monitoring-procedures"/>
    <w:p>
      <w:pPr>
        <w:pStyle w:val="Heading3"/>
      </w:pPr>
      <w:r>
        <w:t xml:space="preserve">8.2 Monitoring Procedures</w:t>
      </w:r>
    </w:p>
    <w:p>
      <w:pPr>
        <w:pStyle w:val="Compact"/>
        <w:numPr>
          <w:ilvl w:val="0"/>
          <w:numId w:val="1019"/>
        </w:numPr>
      </w:pPr>
      <w:r>
        <w:rPr>
          <w:b/>
          <w:bCs/>
        </w:rPr>
        <w:t xml:space="preserve">Regular Audits:</w:t>
      </w:r>
      <w:r>
        <w:t xml:space="preserve"> </w:t>
      </w:r>
      <w:r>
        <w:t xml:space="preserve">Quarterly data quality audits</w:t>
      </w:r>
    </w:p>
    <w:p>
      <w:pPr>
        <w:pStyle w:val="Compact"/>
        <w:numPr>
          <w:ilvl w:val="0"/>
          <w:numId w:val="1019"/>
        </w:numPr>
      </w:pPr>
      <w:r>
        <w:rPr>
          <w:b/>
          <w:bCs/>
        </w:rPr>
        <w:t xml:space="preserve">Performance Reports:</w:t>
      </w:r>
      <w:r>
        <w:t xml:space="preserve"> </w:t>
      </w:r>
      <w:r>
        <w:t xml:space="preserve">Monthly quality metrics</w:t>
      </w:r>
    </w:p>
    <w:p>
      <w:pPr>
        <w:pStyle w:val="Compact"/>
        <w:numPr>
          <w:ilvl w:val="0"/>
          <w:numId w:val="1019"/>
        </w:numPr>
      </w:pPr>
      <w:r>
        <w:rPr>
          <w:b/>
          <w:bCs/>
        </w:rPr>
        <w:t xml:space="preserve">Corrective Actions:</w:t>
      </w:r>
      <w:r>
        <w:t xml:space="preserve"> </w:t>
      </w:r>
      <w:r>
        <w:t xml:space="preserve">Identified issues addressed promptly</w:t>
      </w:r>
    </w:p>
    <w:p>
      <w:pPr>
        <w:pStyle w:val="Compact"/>
        <w:numPr>
          <w:ilvl w:val="0"/>
          <w:numId w:val="1019"/>
        </w:numPr>
      </w:pPr>
      <w:r>
        <w:rPr>
          <w:b/>
          <w:bCs/>
        </w:rPr>
        <w:t xml:space="preserve">Continuous Improvement:</w:t>
      </w:r>
      <w:r>
        <w:t xml:space="preserve"> </w:t>
      </w:r>
      <w:r>
        <w:t xml:space="preserve">Process optimization based on findings</w:t>
      </w:r>
    </w:p>
    <w:bookmarkEnd w:id="34"/>
    <w:bookmarkStart w:id="35" w:name="risk-management"/>
    <w:p>
      <w:pPr>
        <w:pStyle w:val="Heading3"/>
      </w:pPr>
      <w:r>
        <w:t xml:space="preserve">8.3 Risk Management</w:t>
      </w:r>
    </w:p>
    <w:p>
      <w:pPr>
        <w:pStyle w:val="Compact"/>
        <w:numPr>
          <w:ilvl w:val="0"/>
          <w:numId w:val="1020"/>
        </w:numPr>
      </w:pPr>
      <w:r>
        <w:rPr>
          <w:b/>
          <w:bCs/>
        </w:rPr>
        <w:t xml:space="preserve">Data Loss:</w:t>
      </w:r>
      <w:r>
        <w:t xml:space="preserve"> </w:t>
      </w:r>
      <w:r>
        <w:t xml:space="preserve">Multiple backup strategies</w:t>
      </w:r>
    </w:p>
    <w:p>
      <w:pPr>
        <w:pStyle w:val="Compact"/>
        <w:numPr>
          <w:ilvl w:val="0"/>
          <w:numId w:val="1020"/>
        </w:numPr>
      </w:pPr>
      <w:r>
        <w:rPr>
          <w:b/>
          <w:bCs/>
        </w:rPr>
        <w:t xml:space="preserve">Security Breaches:</w:t>
      </w:r>
      <w:r>
        <w:t xml:space="preserve"> </w:t>
      </w:r>
      <w:r>
        <w:t xml:space="preserve">Incident response protocols</w:t>
      </w:r>
    </w:p>
    <w:p>
      <w:pPr>
        <w:pStyle w:val="Compact"/>
        <w:numPr>
          <w:ilvl w:val="0"/>
          <w:numId w:val="1020"/>
        </w:numPr>
      </w:pPr>
      <w:r>
        <w:rPr>
          <w:b/>
          <w:bCs/>
        </w:rPr>
        <w:t xml:space="preserve">System Failures:</w:t>
      </w:r>
      <w:r>
        <w:t xml:space="preserve"> </w:t>
      </w:r>
      <w:r>
        <w:t xml:space="preserve">Redundant systems and failover procedures</w:t>
      </w:r>
    </w:p>
    <w:p>
      <w:pPr>
        <w:pStyle w:val="Compact"/>
        <w:numPr>
          <w:ilvl w:val="0"/>
          <w:numId w:val="1020"/>
        </w:numPr>
      </w:pPr>
      <w:r>
        <w:rPr>
          <w:b/>
          <w:bCs/>
        </w:rPr>
        <w:t xml:space="preserve">Staff Changes:</w:t>
      </w:r>
      <w:r>
        <w:t xml:space="preserve"> </w:t>
      </w:r>
      <w:r>
        <w:t xml:space="preserve">Knowledge transfer and documentation</w:t>
      </w:r>
    </w:p>
    <w:bookmarkEnd w:id="35"/>
    <w:bookmarkEnd w:id="36"/>
    <w:bookmarkStart w:id="40" w:name="regulatory-compliance"/>
    <w:p>
      <w:pPr>
        <w:pStyle w:val="Heading2"/>
      </w:pPr>
      <w:r>
        <w:t xml:space="preserve">9. Regulatory Compliance</w:t>
      </w:r>
    </w:p>
    <w:bookmarkStart w:id="37" w:name="ethical-standards"/>
    <w:p>
      <w:pPr>
        <w:pStyle w:val="Heading3"/>
      </w:pPr>
      <w:r>
        <w:t xml:space="preserve">9.1 Ethical Standards</w:t>
      </w:r>
    </w:p>
    <w:p>
      <w:pPr>
        <w:pStyle w:val="Compact"/>
        <w:numPr>
          <w:ilvl w:val="0"/>
          <w:numId w:val="1021"/>
        </w:numPr>
      </w:pPr>
      <w:r>
        <w:rPr>
          <w:b/>
          <w:bCs/>
        </w:rPr>
        <w:t xml:space="preserve">Participant Privacy:</w:t>
      </w:r>
      <w:r>
        <w:t xml:space="preserve"> </w:t>
      </w:r>
      <w:r>
        <w:t xml:space="preserve">HIPAA-like protections for health data</w:t>
      </w:r>
    </w:p>
    <w:p>
      <w:pPr>
        <w:pStyle w:val="Compact"/>
        <w:numPr>
          <w:ilvl w:val="0"/>
          <w:numId w:val="1021"/>
        </w:numPr>
      </w:pPr>
      <w:r>
        <w:rPr>
          <w:b/>
          <w:bCs/>
        </w:rPr>
        <w:t xml:space="preserve">Informed Consent:</w:t>
      </w:r>
      <w:r>
        <w:t xml:space="preserve"> </w:t>
      </w:r>
      <w:r>
        <w:t xml:space="preserve">Documentation of consent processes</w:t>
      </w:r>
    </w:p>
    <w:p>
      <w:pPr>
        <w:pStyle w:val="Compact"/>
        <w:numPr>
          <w:ilvl w:val="0"/>
          <w:numId w:val="1021"/>
        </w:numPr>
      </w:pPr>
      <w:r>
        <w:rPr>
          <w:b/>
          <w:bCs/>
        </w:rPr>
        <w:t xml:space="preserve">Data Use:</w:t>
      </w:r>
      <w:r>
        <w:t xml:space="preserve"> </w:t>
      </w:r>
      <w:r>
        <w:t xml:space="preserve">Limited to approved research purposes</w:t>
      </w:r>
    </w:p>
    <w:p>
      <w:pPr>
        <w:pStyle w:val="Compact"/>
        <w:numPr>
          <w:ilvl w:val="0"/>
          <w:numId w:val="1021"/>
        </w:numPr>
      </w:pPr>
      <w:r>
        <w:rPr>
          <w:b/>
          <w:bCs/>
        </w:rPr>
        <w:t xml:space="preserve">Breach Reporting:</w:t>
      </w:r>
      <w:r>
        <w:t xml:space="preserve"> </w:t>
      </w:r>
      <w:r>
        <w:t xml:space="preserve">Immediate reporting of privacy breaches</w:t>
      </w:r>
    </w:p>
    <w:bookmarkEnd w:id="37"/>
    <w:bookmarkStart w:id="38" w:name="institutional-policies"/>
    <w:p>
      <w:pPr>
        <w:pStyle w:val="Heading3"/>
      </w:pPr>
      <w:r>
        <w:t xml:space="preserve">9.2 Institutional Policies</w:t>
      </w:r>
    </w:p>
    <w:p>
      <w:pPr>
        <w:pStyle w:val="Compact"/>
        <w:numPr>
          <w:ilvl w:val="0"/>
          <w:numId w:val="1022"/>
        </w:numPr>
      </w:pPr>
      <w:r>
        <w:rPr>
          <w:b/>
          <w:bCs/>
        </w:rPr>
        <w:t xml:space="preserve">Data Governance:</w:t>
      </w:r>
      <w:r>
        <w:t xml:space="preserve"> </w:t>
      </w:r>
      <w:r>
        <w:t xml:space="preserve">Compliance with institutional policies</w:t>
      </w:r>
    </w:p>
    <w:p>
      <w:pPr>
        <w:pStyle w:val="Compact"/>
        <w:numPr>
          <w:ilvl w:val="0"/>
          <w:numId w:val="1022"/>
        </w:numPr>
      </w:pPr>
      <w:r>
        <w:rPr>
          <w:b/>
          <w:bCs/>
        </w:rPr>
        <w:t xml:space="preserve">Intellectual Property:</w:t>
      </w:r>
      <w:r>
        <w:t xml:space="preserve"> </w:t>
      </w:r>
      <w:r>
        <w:t xml:space="preserve">Ownership and usage rights</w:t>
      </w:r>
    </w:p>
    <w:p>
      <w:pPr>
        <w:pStyle w:val="Compact"/>
        <w:numPr>
          <w:ilvl w:val="0"/>
          <w:numId w:val="1022"/>
        </w:numPr>
      </w:pPr>
      <w:r>
        <w:rPr>
          <w:b/>
          <w:bCs/>
        </w:rPr>
        <w:t xml:space="preserve">Publication Rights:</w:t>
      </w:r>
      <w:r>
        <w:t xml:space="preserve"> </w:t>
      </w:r>
      <w:r>
        <w:t xml:space="preserve">Authorship and acknowledgment policies</w:t>
      </w:r>
    </w:p>
    <w:p>
      <w:pPr>
        <w:pStyle w:val="Compact"/>
        <w:numPr>
          <w:ilvl w:val="0"/>
          <w:numId w:val="1022"/>
        </w:numPr>
      </w:pPr>
      <w:r>
        <w:rPr>
          <w:b/>
          <w:bCs/>
        </w:rPr>
        <w:t xml:space="preserve">Resource Allocation:</w:t>
      </w:r>
      <w:r>
        <w:t xml:space="preserve"> </w:t>
      </w:r>
      <w:r>
        <w:t xml:space="preserve">Fair access to data resources</w:t>
      </w:r>
    </w:p>
    <w:bookmarkEnd w:id="38"/>
    <w:bookmarkStart w:id="39" w:name="legal-requirements"/>
    <w:p>
      <w:pPr>
        <w:pStyle w:val="Heading3"/>
      </w:pPr>
      <w:r>
        <w:t xml:space="preserve">9.3 Legal Requirements</w:t>
      </w:r>
    </w:p>
    <w:p>
      <w:pPr>
        <w:pStyle w:val="Compact"/>
        <w:numPr>
          <w:ilvl w:val="0"/>
          <w:numId w:val="1023"/>
        </w:numPr>
      </w:pPr>
      <w:r>
        <w:rPr>
          <w:b/>
          <w:bCs/>
        </w:rPr>
        <w:t xml:space="preserve">Data Protection Laws:</w:t>
      </w:r>
      <w:r>
        <w:t xml:space="preserve"> </w:t>
      </w:r>
      <w:r>
        <w:t xml:space="preserve">Compliance with applicable regulations</w:t>
      </w:r>
    </w:p>
    <w:p>
      <w:pPr>
        <w:pStyle w:val="Compact"/>
        <w:numPr>
          <w:ilvl w:val="0"/>
          <w:numId w:val="1023"/>
        </w:numPr>
      </w:pPr>
      <w:r>
        <w:rPr>
          <w:b/>
          <w:bCs/>
        </w:rPr>
        <w:t xml:space="preserve">Research Ethics:</w:t>
      </w:r>
      <w:r>
        <w:t xml:space="preserve"> </w:t>
      </w:r>
      <w:r>
        <w:t xml:space="preserve">Adherence to ICMR and institutional guidelines</w:t>
      </w:r>
    </w:p>
    <w:p>
      <w:pPr>
        <w:pStyle w:val="Compact"/>
        <w:numPr>
          <w:ilvl w:val="0"/>
          <w:numId w:val="1023"/>
        </w:numPr>
      </w:pPr>
      <w:r>
        <w:rPr>
          <w:b/>
          <w:bCs/>
        </w:rPr>
        <w:t xml:space="preserve">Contractual Obligations:</w:t>
      </w:r>
      <w:r>
        <w:t xml:space="preserve"> </w:t>
      </w:r>
      <w:r>
        <w:t xml:space="preserve">Fulfillment of funding agency requirements</w:t>
      </w:r>
    </w:p>
    <w:bookmarkEnd w:id="39"/>
    <w:bookmarkEnd w:id="40"/>
    <w:bookmarkStart w:id="45" w:name="roles-and-responsibilities"/>
    <w:p>
      <w:pPr>
        <w:pStyle w:val="Heading2"/>
      </w:pPr>
      <w:r>
        <w:t xml:space="preserve">10. Roles and Responsibilities</w:t>
      </w:r>
    </w:p>
    <w:bookmarkStart w:id="41" w:name="data-manager"/>
    <w:p>
      <w:pPr>
        <w:pStyle w:val="Heading3"/>
      </w:pPr>
      <w:r>
        <w:t xml:space="preserve">10.1 Data Manager</w:t>
      </w:r>
    </w:p>
    <w:p>
      <w:pPr>
        <w:pStyle w:val="Compact"/>
        <w:numPr>
          <w:ilvl w:val="0"/>
          <w:numId w:val="1024"/>
        </w:numPr>
      </w:pPr>
      <w:r>
        <w:t xml:space="preserve">Overall data management coordination</w:t>
      </w:r>
    </w:p>
    <w:p>
      <w:pPr>
        <w:pStyle w:val="Compact"/>
        <w:numPr>
          <w:ilvl w:val="0"/>
          <w:numId w:val="1024"/>
        </w:numPr>
      </w:pPr>
      <w:r>
        <w:t xml:space="preserve">System administration and maintenance</w:t>
      </w:r>
    </w:p>
    <w:p>
      <w:pPr>
        <w:pStyle w:val="Compact"/>
        <w:numPr>
          <w:ilvl w:val="0"/>
          <w:numId w:val="1024"/>
        </w:numPr>
      </w:pPr>
      <w:r>
        <w:t xml:space="preserve">Quality assurance and monitoring</w:t>
      </w:r>
    </w:p>
    <w:p>
      <w:pPr>
        <w:pStyle w:val="Compact"/>
        <w:numPr>
          <w:ilvl w:val="0"/>
          <w:numId w:val="1024"/>
        </w:numPr>
      </w:pPr>
      <w:r>
        <w:t xml:space="preserve">Staff training and supervision</w:t>
      </w:r>
    </w:p>
    <w:bookmarkEnd w:id="41"/>
    <w:bookmarkStart w:id="42" w:name="principal-investigator"/>
    <w:p>
      <w:pPr>
        <w:pStyle w:val="Heading3"/>
      </w:pPr>
      <w:r>
        <w:t xml:space="preserve">10.2 Principal Investigator</w:t>
      </w:r>
    </w:p>
    <w:p>
      <w:pPr>
        <w:pStyle w:val="Compact"/>
        <w:numPr>
          <w:ilvl w:val="0"/>
          <w:numId w:val="1025"/>
        </w:numPr>
      </w:pPr>
      <w:r>
        <w:t xml:space="preserve">Final responsibility for data integrity</w:t>
      </w:r>
    </w:p>
    <w:p>
      <w:pPr>
        <w:pStyle w:val="Compact"/>
        <w:numPr>
          <w:ilvl w:val="0"/>
          <w:numId w:val="1025"/>
        </w:numPr>
      </w:pPr>
      <w:r>
        <w:t xml:space="preserve">Approval of data sharing and access</w:t>
      </w:r>
    </w:p>
    <w:p>
      <w:pPr>
        <w:pStyle w:val="Compact"/>
        <w:numPr>
          <w:ilvl w:val="0"/>
          <w:numId w:val="1025"/>
        </w:numPr>
      </w:pPr>
      <w:r>
        <w:t xml:space="preserve">Oversight of regulatory compliance</w:t>
      </w:r>
    </w:p>
    <w:p>
      <w:pPr>
        <w:pStyle w:val="Compact"/>
        <w:numPr>
          <w:ilvl w:val="0"/>
          <w:numId w:val="1025"/>
        </w:numPr>
      </w:pPr>
      <w:r>
        <w:t xml:space="preserve">Resolution of data-related issues</w:t>
      </w:r>
    </w:p>
    <w:bookmarkEnd w:id="42"/>
    <w:bookmarkStart w:id="43" w:name="data-entry-operators"/>
    <w:p>
      <w:pPr>
        <w:pStyle w:val="Heading3"/>
      </w:pPr>
      <w:r>
        <w:t xml:space="preserve">10.3 Data Entry Operators</w:t>
      </w:r>
    </w:p>
    <w:p>
      <w:pPr>
        <w:pStyle w:val="Compact"/>
        <w:numPr>
          <w:ilvl w:val="0"/>
          <w:numId w:val="1026"/>
        </w:numPr>
      </w:pPr>
      <w:r>
        <w:t xml:space="preserve">Accurate and timely data entry</w:t>
      </w:r>
    </w:p>
    <w:p>
      <w:pPr>
        <w:pStyle w:val="Compact"/>
        <w:numPr>
          <w:ilvl w:val="0"/>
          <w:numId w:val="1026"/>
        </w:numPr>
      </w:pPr>
      <w:r>
        <w:t xml:space="preserve">Adherence to data entry protocols</w:t>
      </w:r>
    </w:p>
    <w:p>
      <w:pPr>
        <w:pStyle w:val="Compact"/>
        <w:numPr>
          <w:ilvl w:val="0"/>
          <w:numId w:val="1026"/>
        </w:numPr>
      </w:pPr>
      <w:r>
        <w:t xml:space="preserve">Reporting of data quality issues</w:t>
      </w:r>
    </w:p>
    <w:p>
      <w:pPr>
        <w:pStyle w:val="Compact"/>
        <w:numPr>
          <w:ilvl w:val="0"/>
          <w:numId w:val="1026"/>
        </w:numPr>
      </w:pPr>
      <w:r>
        <w:t xml:space="preserve">Maintenance of data entry logs</w:t>
      </w:r>
    </w:p>
    <w:bookmarkEnd w:id="43"/>
    <w:bookmarkStart w:id="44" w:name="it-support-staff"/>
    <w:p>
      <w:pPr>
        <w:pStyle w:val="Heading3"/>
      </w:pPr>
      <w:r>
        <w:t xml:space="preserve">10.4 IT Support Staff</w:t>
      </w:r>
    </w:p>
    <w:p>
      <w:pPr>
        <w:pStyle w:val="Compact"/>
        <w:numPr>
          <w:ilvl w:val="0"/>
          <w:numId w:val="1027"/>
        </w:numPr>
      </w:pPr>
      <w:r>
        <w:t xml:space="preserve">Technical infrastructure maintenance</w:t>
      </w:r>
    </w:p>
    <w:p>
      <w:pPr>
        <w:pStyle w:val="Compact"/>
        <w:numPr>
          <w:ilvl w:val="0"/>
          <w:numId w:val="1027"/>
        </w:numPr>
      </w:pPr>
      <w:r>
        <w:t xml:space="preserve">Security implementation and monitoring</w:t>
      </w:r>
    </w:p>
    <w:p>
      <w:pPr>
        <w:pStyle w:val="Compact"/>
        <w:numPr>
          <w:ilvl w:val="0"/>
          <w:numId w:val="1027"/>
        </w:numPr>
      </w:pPr>
      <w:r>
        <w:t xml:space="preserve">Backup and recovery procedures</w:t>
      </w:r>
    </w:p>
    <w:p>
      <w:pPr>
        <w:pStyle w:val="Compact"/>
        <w:numPr>
          <w:ilvl w:val="0"/>
          <w:numId w:val="1027"/>
        </w:numPr>
      </w:pPr>
      <w:r>
        <w:t xml:space="preserve">User support and troubleshooting</w:t>
      </w:r>
    </w:p>
    <w:bookmarkEnd w:id="44"/>
    <w:bookmarkEnd w:id="45"/>
    <w:bookmarkStart w:id="48" w:name="training-and-capacity-building"/>
    <w:p>
      <w:pPr>
        <w:pStyle w:val="Heading2"/>
      </w:pPr>
      <w:r>
        <w:t xml:space="preserve">11. Training and Capacity Building</w:t>
      </w:r>
    </w:p>
    <w:bookmarkStart w:id="46" w:name="staff-training"/>
    <w:p>
      <w:pPr>
        <w:pStyle w:val="Heading3"/>
      </w:pPr>
      <w:r>
        <w:t xml:space="preserve">11.1 Staff Training</w:t>
      </w:r>
    </w:p>
    <w:p>
      <w:pPr>
        <w:pStyle w:val="Compact"/>
        <w:numPr>
          <w:ilvl w:val="0"/>
          <w:numId w:val="1028"/>
        </w:numPr>
      </w:pPr>
      <w:r>
        <w:rPr>
          <w:b/>
          <w:bCs/>
        </w:rPr>
        <w:t xml:space="preserve">Initial Training:</w:t>
      </w:r>
      <w:r>
        <w:t xml:space="preserve"> </w:t>
      </w:r>
      <w:r>
        <w:t xml:space="preserve">Comprehensive data management training</w:t>
      </w:r>
    </w:p>
    <w:p>
      <w:pPr>
        <w:pStyle w:val="Compact"/>
        <w:numPr>
          <w:ilvl w:val="0"/>
          <w:numId w:val="1028"/>
        </w:numPr>
      </w:pPr>
      <w:r>
        <w:rPr>
          <w:b/>
          <w:bCs/>
        </w:rPr>
        <w:t xml:space="preserve">Ongoing Training:</w:t>
      </w:r>
      <w:r>
        <w:t xml:space="preserve"> </w:t>
      </w:r>
      <w:r>
        <w:t xml:space="preserve">Updates on procedures and systems</w:t>
      </w:r>
    </w:p>
    <w:p>
      <w:pPr>
        <w:pStyle w:val="Compact"/>
        <w:numPr>
          <w:ilvl w:val="0"/>
          <w:numId w:val="1028"/>
        </w:numPr>
      </w:pPr>
      <w:r>
        <w:rPr>
          <w:b/>
          <w:bCs/>
        </w:rPr>
        <w:t xml:space="preserve">Certification:</w:t>
      </w:r>
      <w:r>
        <w:t xml:space="preserve"> </w:t>
      </w:r>
      <w:r>
        <w:t xml:space="preserve">Competency assessment and certification</w:t>
      </w:r>
    </w:p>
    <w:p>
      <w:pPr>
        <w:pStyle w:val="Compact"/>
        <w:numPr>
          <w:ilvl w:val="0"/>
          <w:numId w:val="1028"/>
        </w:numPr>
      </w:pPr>
      <w:r>
        <w:rPr>
          <w:b/>
          <w:bCs/>
        </w:rPr>
        <w:t xml:space="preserve">Refresher Training:</w:t>
      </w:r>
      <w:r>
        <w:t xml:space="preserve"> </w:t>
      </w:r>
      <w:r>
        <w:t xml:space="preserve">Annual updates and recertification</w:t>
      </w:r>
    </w:p>
    <w:bookmarkEnd w:id="46"/>
    <w:bookmarkStart w:id="47" w:name="documentation-training"/>
    <w:p>
      <w:pPr>
        <w:pStyle w:val="Heading3"/>
      </w:pPr>
      <w:r>
        <w:t xml:space="preserve">11.2 Documentation Training</w:t>
      </w:r>
    </w:p>
    <w:p>
      <w:pPr>
        <w:pStyle w:val="Compact"/>
        <w:numPr>
          <w:ilvl w:val="0"/>
          <w:numId w:val="1029"/>
        </w:numPr>
      </w:pPr>
      <w:r>
        <w:rPr>
          <w:b/>
          <w:bCs/>
        </w:rPr>
        <w:t xml:space="preserve">Standard Operating Procedures:</w:t>
      </w:r>
      <w:r>
        <w:t xml:space="preserve"> </w:t>
      </w:r>
      <w:r>
        <w:t xml:space="preserve">Regular review and updates</w:t>
      </w:r>
    </w:p>
    <w:p>
      <w:pPr>
        <w:pStyle w:val="Compact"/>
        <w:numPr>
          <w:ilvl w:val="0"/>
          <w:numId w:val="1029"/>
        </w:numPr>
      </w:pPr>
      <w:r>
        <w:rPr>
          <w:b/>
          <w:bCs/>
        </w:rPr>
        <w:t xml:space="preserve">Best Practices:</w:t>
      </w:r>
      <w:r>
        <w:t xml:space="preserve"> </w:t>
      </w:r>
      <w:r>
        <w:t xml:space="preserve">Training on data management standards</w:t>
      </w:r>
    </w:p>
    <w:p>
      <w:pPr>
        <w:pStyle w:val="Compact"/>
        <w:numPr>
          <w:ilvl w:val="0"/>
          <w:numId w:val="1029"/>
        </w:numPr>
      </w:pPr>
      <w:r>
        <w:rPr>
          <w:b/>
          <w:bCs/>
        </w:rPr>
        <w:t xml:space="preserve">Quality Standards:</w:t>
      </w:r>
      <w:r>
        <w:t xml:space="preserve"> </w:t>
      </w:r>
      <w:r>
        <w:t xml:space="preserve">Understanding of quality requirements</w:t>
      </w:r>
    </w:p>
    <w:p>
      <w:pPr>
        <w:pStyle w:val="Compact"/>
        <w:numPr>
          <w:ilvl w:val="0"/>
          <w:numId w:val="1029"/>
        </w:numPr>
      </w:pPr>
      <w:r>
        <w:rPr>
          <w:b/>
          <w:bCs/>
        </w:rPr>
        <w:t xml:space="preserve">Ethical Issues:</w:t>
      </w:r>
      <w:r>
        <w:t xml:space="preserve"> </w:t>
      </w:r>
      <w:r>
        <w:t xml:space="preserve">Training on privacy and confidentiality</w:t>
      </w:r>
    </w:p>
    <w:bookmarkEnd w:id="47"/>
    <w:bookmarkEnd w:id="48"/>
    <w:bookmarkStart w:id="52" w:name="budget-and-resources"/>
    <w:p>
      <w:pPr>
        <w:pStyle w:val="Heading2"/>
      </w:pPr>
      <w:r>
        <w:t xml:space="preserve">12. Budget and Resources</w:t>
      </w:r>
    </w:p>
    <w:bookmarkStart w:id="49" w:name="personnel-resources"/>
    <w:p>
      <w:pPr>
        <w:pStyle w:val="Heading3"/>
      </w:pPr>
      <w:r>
        <w:t xml:space="preserve">12.1 Personnel Resources</w:t>
      </w:r>
    </w:p>
    <w:p>
      <w:pPr>
        <w:pStyle w:val="Compact"/>
        <w:numPr>
          <w:ilvl w:val="0"/>
          <w:numId w:val="1030"/>
        </w:numPr>
      </w:pPr>
      <w:r>
        <w:t xml:space="preserve">Data Manager: 12 months full-time</w:t>
      </w:r>
    </w:p>
    <w:p>
      <w:pPr>
        <w:pStyle w:val="Compact"/>
        <w:numPr>
          <w:ilvl w:val="0"/>
          <w:numId w:val="1030"/>
        </w:numPr>
      </w:pPr>
      <w:r>
        <w:t xml:space="preserve">Data Entry Operators: 8 months (3 persons)</w:t>
      </w:r>
    </w:p>
    <w:p>
      <w:pPr>
        <w:pStyle w:val="Compact"/>
        <w:numPr>
          <w:ilvl w:val="0"/>
          <w:numId w:val="1030"/>
        </w:numPr>
      </w:pPr>
      <w:r>
        <w:t xml:space="preserve">IT Support: 6 months part-time</w:t>
      </w:r>
    </w:p>
    <w:p>
      <w:pPr>
        <w:pStyle w:val="Compact"/>
        <w:numPr>
          <w:ilvl w:val="0"/>
          <w:numId w:val="1030"/>
        </w:numPr>
      </w:pPr>
      <w:r>
        <w:t xml:space="preserve">Training Costs: ₹50,000</w:t>
      </w:r>
    </w:p>
    <w:bookmarkEnd w:id="49"/>
    <w:bookmarkStart w:id="50" w:name="technical-resources"/>
    <w:p>
      <w:pPr>
        <w:pStyle w:val="Heading3"/>
      </w:pPr>
      <w:r>
        <w:t xml:space="preserve">12.2 Technical Resources</w:t>
      </w:r>
    </w:p>
    <w:p>
      <w:pPr>
        <w:pStyle w:val="Compact"/>
        <w:numPr>
          <w:ilvl w:val="0"/>
          <w:numId w:val="1031"/>
        </w:numPr>
      </w:pPr>
      <w:r>
        <w:t xml:space="preserve">Software Licenses: ₹50,000</w:t>
      </w:r>
    </w:p>
    <w:p>
      <w:pPr>
        <w:pStyle w:val="Compact"/>
        <w:numPr>
          <w:ilvl w:val="0"/>
          <w:numId w:val="1031"/>
        </w:numPr>
      </w:pPr>
      <w:r>
        <w:t xml:space="preserve">Hardware: ₹50,000</w:t>
      </w:r>
    </w:p>
    <w:p>
      <w:pPr>
        <w:pStyle w:val="Compact"/>
        <w:numPr>
          <w:ilvl w:val="0"/>
          <w:numId w:val="1031"/>
        </w:numPr>
      </w:pPr>
      <w:r>
        <w:t xml:space="preserve">Storage Systems: ₹30,000</w:t>
      </w:r>
    </w:p>
    <w:p>
      <w:pPr>
        <w:pStyle w:val="Compact"/>
        <w:numPr>
          <w:ilvl w:val="0"/>
          <w:numId w:val="1031"/>
        </w:numPr>
      </w:pPr>
      <w:r>
        <w:t xml:space="preserve">Security Tools: ₹20,000</w:t>
      </w:r>
    </w:p>
    <w:bookmarkEnd w:id="50"/>
    <w:bookmarkStart w:id="51" w:name="infrastructure-costs"/>
    <w:p>
      <w:pPr>
        <w:pStyle w:val="Heading3"/>
      </w:pPr>
      <w:r>
        <w:t xml:space="preserve">12.3 Infrastructure Costs</w:t>
      </w:r>
    </w:p>
    <w:p>
      <w:pPr>
        <w:pStyle w:val="Compact"/>
        <w:numPr>
          <w:ilvl w:val="0"/>
          <w:numId w:val="1032"/>
        </w:numPr>
      </w:pPr>
      <w:r>
        <w:t xml:space="preserve">Server Maintenance: ₹30,000</w:t>
      </w:r>
    </w:p>
    <w:p>
      <w:pPr>
        <w:pStyle w:val="Compact"/>
        <w:numPr>
          <w:ilvl w:val="0"/>
          <w:numId w:val="1032"/>
        </w:numPr>
      </w:pPr>
      <w:r>
        <w:t xml:space="preserve">Backup Systems: ₹20,000</w:t>
      </w:r>
    </w:p>
    <w:p>
      <w:pPr>
        <w:pStyle w:val="Compact"/>
        <w:numPr>
          <w:ilvl w:val="0"/>
          <w:numId w:val="1032"/>
        </w:numPr>
      </w:pPr>
      <w:r>
        <w:t xml:space="preserve">Internet Connectivity: ₹20,000</w:t>
      </w:r>
    </w:p>
    <w:p>
      <w:pPr>
        <w:pStyle w:val="Compact"/>
        <w:numPr>
          <w:ilvl w:val="0"/>
          <w:numId w:val="1032"/>
        </w:numPr>
      </w:pPr>
      <w:r>
        <w:t xml:space="preserve">Total Data Management Budget: ₹2,70,000</w:t>
      </w:r>
    </w:p>
    <w:bookmarkEnd w:id="51"/>
    <w:bookmarkEnd w:id="52"/>
    <w:bookmarkStart w:id="55" w:name="contingency-planning"/>
    <w:p>
      <w:pPr>
        <w:pStyle w:val="Heading2"/>
      </w:pPr>
      <w:r>
        <w:t xml:space="preserve">13. Contingency Planning</w:t>
      </w:r>
    </w:p>
    <w:bookmarkStart w:id="53" w:name="data-recovery"/>
    <w:p>
      <w:pPr>
        <w:pStyle w:val="Heading3"/>
      </w:pPr>
      <w:r>
        <w:t xml:space="preserve">13.1 Data Recovery</w:t>
      </w:r>
    </w:p>
    <w:p>
      <w:pPr>
        <w:pStyle w:val="Compact"/>
        <w:numPr>
          <w:ilvl w:val="0"/>
          <w:numId w:val="1033"/>
        </w:numPr>
      </w:pPr>
      <w:r>
        <w:rPr>
          <w:b/>
          <w:bCs/>
        </w:rPr>
        <w:t xml:space="preserve">Disaster Recovery Plan:</w:t>
      </w:r>
      <w:r>
        <w:t xml:space="preserve"> </w:t>
      </w:r>
      <w:r>
        <w:t xml:space="preserve">Detailed procedures for data restoration</w:t>
      </w:r>
    </w:p>
    <w:p>
      <w:pPr>
        <w:pStyle w:val="Compact"/>
        <w:numPr>
          <w:ilvl w:val="0"/>
          <w:numId w:val="1033"/>
        </w:numPr>
      </w:pPr>
      <w:r>
        <w:rPr>
          <w:b/>
          <w:bCs/>
        </w:rPr>
        <w:t xml:space="preserve">Business Continuity:</w:t>
      </w:r>
      <w:r>
        <w:t xml:space="preserve"> </w:t>
      </w:r>
      <w:r>
        <w:t xml:space="preserve">Alternative work procedures during disruptions</w:t>
      </w:r>
    </w:p>
    <w:p>
      <w:pPr>
        <w:pStyle w:val="Compact"/>
        <w:numPr>
          <w:ilvl w:val="0"/>
          <w:numId w:val="1033"/>
        </w:numPr>
      </w:pPr>
      <w:r>
        <w:rPr>
          <w:b/>
          <w:bCs/>
        </w:rPr>
        <w:t xml:space="preserve">Data Migration:</w:t>
      </w:r>
      <w:r>
        <w:t xml:space="preserve"> </w:t>
      </w:r>
      <w:r>
        <w:t xml:space="preserve">Procedures for system changes or upgrades</w:t>
      </w:r>
    </w:p>
    <w:p>
      <w:pPr>
        <w:pStyle w:val="Compact"/>
        <w:numPr>
          <w:ilvl w:val="0"/>
          <w:numId w:val="1033"/>
        </w:numPr>
      </w:pPr>
      <w:r>
        <w:rPr>
          <w:b/>
          <w:bCs/>
        </w:rPr>
        <w:t xml:space="preserve">Vendor Dependencies:</w:t>
      </w:r>
      <w:r>
        <w:t xml:space="preserve"> </w:t>
      </w:r>
      <w:r>
        <w:t xml:space="preserve">Backup plans for external service providers</w:t>
      </w:r>
    </w:p>
    <w:bookmarkEnd w:id="53"/>
    <w:bookmarkStart w:id="54" w:name="risk-assessment"/>
    <w:p>
      <w:pPr>
        <w:pStyle w:val="Heading3"/>
      </w:pPr>
      <w:r>
        <w:t xml:space="preserve">13.2 Risk Assessment</w:t>
      </w:r>
    </w:p>
    <w:p>
      <w:pPr>
        <w:pStyle w:val="Compact"/>
        <w:numPr>
          <w:ilvl w:val="0"/>
          <w:numId w:val="1034"/>
        </w:numPr>
      </w:pPr>
      <w:r>
        <w:rPr>
          <w:b/>
          <w:bCs/>
        </w:rPr>
        <w:t xml:space="preserve">Regular Reviews:</w:t>
      </w:r>
      <w:r>
        <w:t xml:space="preserve"> </w:t>
      </w:r>
      <w:r>
        <w:t xml:space="preserve">Annual risk assessment and mitigation planning</w:t>
      </w:r>
    </w:p>
    <w:p>
      <w:pPr>
        <w:pStyle w:val="Compact"/>
        <w:numPr>
          <w:ilvl w:val="0"/>
          <w:numId w:val="1034"/>
        </w:numPr>
      </w:pPr>
      <w:r>
        <w:rPr>
          <w:b/>
          <w:bCs/>
        </w:rPr>
        <w:t xml:space="preserve">Incident Response:</w:t>
      </w:r>
      <w:r>
        <w:t xml:space="preserve"> </w:t>
      </w:r>
      <w:r>
        <w:t xml:space="preserve">Procedures for data breaches or system failures</w:t>
      </w:r>
    </w:p>
    <w:p>
      <w:pPr>
        <w:pStyle w:val="Compact"/>
        <w:numPr>
          <w:ilvl w:val="0"/>
          <w:numId w:val="1034"/>
        </w:numPr>
      </w:pPr>
      <w:r>
        <w:rPr>
          <w:b/>
          <w:bCs/>
        </w:rPr>
        <w:t xml:space="preserve">Insurance Coverage:</w:t>
      </w:r>
      <w:r>
        <w:t xml:space="preserve"> </w:t>
      </w:r>
      <w:r>
        <w:t xml:space="preserve">Cyber liability and data loss insurance</w:t>
      </w:r>
    </w:p>
    <w:p>
      <w:pPr>
        <w:pStyle w:val="Compact"/>
        <w:numPr>
          <w:ilvl w:val="0"/>
          <w:numId w:val="1034"/>
        </w:numPr>
      </w:pPr>
      <w:r>
        <w:rPr>
          <w:b/>
          <w:bCs/>
        </w:rPr>
        <w:t xml:space="preserve">Stakeholder Communication:</w:t>
      </w:r>
      <w:r>
        <w:t xml:space="preserve"> </w:t>
      </w:r>
      <w:r>
        <w:t xml:space="preserve">Protocols for incident reporting</w:t>
      </w:r>
    </w:p>
    <w:bookmarkEnd w:id="54"/>
    <w:bookmarkEnd w:id="55"/>
    <w:bookmarkStart w:id="58" w:name="performance-evaluation"/>
    <w:p>
      <w:pPr>
        <w:pStyle w:val="Heading2"/>
      </w:pPr>
      <w:r>
        <w:t xml:space="preserve">14. Performance Evaluation</w:t>
      </w:r>
    </w:p>
    <w:bookmarkStart w:id="56" w:name="key-performance-indicators"/>
    <w:p>
      <w:pPr>
        <w:pStyle w:val="Heading3"/>
      </w:pPr>
      <w:r>
        <w:t xml:space="preserve">14.1 Key Performance Indicators</w:t>
      </w:r>
    </w:p>
    <w:p>
      <w:pPr>
        <w:pStyle w:val="Compact"/>
        <w:numPr>
          <w:ilvl w:val="0"/>
          <w:numId w:val="1035"/>
        </w:numPr>
      </w:pPr>
      <w:r>
        <w:t xml:space="preserve">Data completeness rates</w:t>
      </w:r>
    </w:p>
    <w:p>
      <w:pPr>
        <w:pStyle w:val="Compact"/>
        <w:numPr>
          <w:ilvl w:val="0"/>
          <w:numId w:val="1035"/>
        </w:numPr>
      </w:pPr>
      <w:r>
        <w:t xml:space="preserve">Error rates and correction times</w:t>
      </w:r>
    </w:p>
    <w:p>
      <w:pPr>
        <w:pStyle w:val="Compact"/>
        <w:numPr>
          <w:ilvl w:val="0"/>
          <w:numId w:val="1035"/>
        </w:numPr>
      </w:pPr>
      <w:r>
        <w:t xml:space="preserve">System uptime and availability</w:t>
      </w:r>
    </w:p>
    <w:p>
      <w:pPr>
        <w:pStyle w:val="Compact"/>
        <w:numPr>
          <w:ilvl w:val="0"/>
          <w:numId w:val="1035"/>
        </w:numPr>
      </w:pPr>
      <w:r>
        <w:t xml:space="preserve">User satisfaction scores</w:t>
      </w:r>
    </w:p>
    <w:p>
      <w:pPr>
        <w:pStyle w:val="Compact"/>
        <w:numPr>
          <w:ilvl w:val="0"/>
          <w:numId w:val="1035"/>
        </w:numPr>
      </w:pPr>
      <w:r>
        <w:t xml:space="preserve">Audit compliance rates</w:t>
      </w:r>
    </w:p>
    <w:bookmarkEnd w:id="56"/>
    <w:bookmarkStart w:id="57" w:name="reporting"/>
    <w:p>
      <w:pPr>
        <w:pStyle w:val="Heading3"/>
      </w:pPr>
      <w:r>
        <w:t xml:space="preserve">14.2 Reporting</w:t>
      </w:r>
    </w:p>
    <w:p>
      <w:pPr>
        <w:pStyle w:val="Compact"/>
        <w:numPr>
          <w:ilvl w:val="0"/>
          <w:numId w:val="1036"/>
        </w:numPr>
      </w:pPr>
      <w:r>
        <w:rPr>
          <w:b/>
          <w:bCs/>
        </w:rPr>
        <w:t xml:space="preserve">Monthly Reports:</w:t>
      </w:r>
      <w:r>
        <w:t xml:space="preserve"> </w:t>
      </w:r>
      <w:r>
        <w:t xml:space="preserve">Data management performance metrics</w:t>
      </w:r>
    </w:p>
    <w:p>
      <w:pPr>
        <w:pStyle w:val="Compact"/>
        <w:numPr>
          <w:ilvl w:val="0"/>
          <w:numId w:val="1036"/>
        </w:numPr>
      </w:pPr>
      <w:r>
        <w:rPr>
          <w:b/>
          <w:bCs/>
        </w:rPr>
        <w:t xml:space="preserve">Quarterly Reviews:</w:t>
      </w:r>
      <w:r>
        <w:t xml:space="preserve"> </w:t>
      </w:r>
      <w:r>
        <w:t xml:space="preserve">Comprehensive quality assessments</w:t>
      </w:r>
    </w:p>
    <w:p>
      <w:pPr>
        <w:pStyle w:val="Compact"/>
        <w:numPr>
          <w:ilvl w:val="0"/>
          <w:numId w:val="1036"/>
        </w:numPr>
      </w:pPr>
      <w:r>
        <w:rPr>
          <w:b/>
          <w:bCs/>
        </w:rPr>
        <w:t xml:space="preserve">Annual Reports:</w:t>
      </w:r>
      <w:r>
        <w:t xml:space="preserve"> </w:t>
      </w:r>
      <w:r>
        <w:t xml:space="preserve">Overall data management evaluation</w:t>
      </w:r>
    </w:p>
    <w:p>
      <w:pPr>
        <w:pStyle w:val="Compact"/>
        <w:numPr>
          <w:ilvl w:val="0"/>
          <w:numId w:val="1036"/>
        </w:numPr>
      </w:pPr>
      <w:r>
        <w:rPr>
          <w:b/>
          <w:bCs/>
        </w:rPr>
        <w:t xml:space="preserve">Ad-hoc Reports:</w:t>
      </w:r>
      <w:r>
        <w:t xml:space="preserve"> </w:t>
      </w:r>
      <w:r>
        <w:t xml:space="preserve">Special requests and investigations</w:t>
      </w:r>
    </w:p>
    <w:bookmarkEnd w:id="57"/>
    <w:bookmarkEnd w:id="58"/>
    <w:bookmarkStart w:id="61" w:name="plan-maintenance-and-updates"/>
    <w:p>
      <w:pPr>
        <w:pStyle w:val="Heading2"/>
      </w:pPr>
      <w:r>
        <w:t xml:space="preserve">15. Plan Maintenance and Updates</w:t>
      </w:r>
    </w:p>
    <w:bookmarkStart w:id="59" w:name="regular-reviews"/>
    <w:p>
      <w:pPr>
        <w:pStyle w:val="Heading3"/>
      </w:pPr>
      <w:r>
        <w:t xml:space="preserve">15.1 Regular Reviews</w:t>
      </w:r>
    </w:p>
    <w:p>
      <w:pPr>
        <w:pStyle w:val="Compact"/>
        <w:numPr>
          <w:ilvl w:val="0"/>
          <w:numId w:val="1037"/>
        </w:numPr>
      </w:pPr>
      <w:r>
        <w:rPr>
          <w:b/>
          <w:bCs/>
        </w:rPr>
        <w:t xml:space="preserve">Annual Review:</w:t>
      </w:r>
      <w:r>
        <w:t xml:space="preserve"> </w:t>
      </w:r>
      <w:r>
        <w:t xml:space="preserve">Comprehensive plan evaluation</w:t>
      </w:r>
    </w:p>
    <w:p>
      <w:pPr>
        <w:pStyle w:val="Compact"/>
        <w:numPr>
          <w:ilvl w:val="0"/>
          <w:numId w:val="1037"/>
        </w:numPr>
      </w:pPr>
      <w:r>
        <w:rPr>
          <w:b/>
          <w:bCs/>
        </w:rPr>
        <w:t xml:space="preserve">Change Management:</w:t>
      </w:r>
      <w:r>
        <w:t xml:space="preserve"> </w:t>
      </w:r>
      <w:r>
        <w:t xml:space="preserve">Procedures for plan modifications</w:t>
      </w:r>
    </w:p>
    <w:p>
      <w:pPr>
        <w:pStyle w:val="Compact"/>
        <w:numPr>
          <w:ilvl w:val="0"/>
          <w:numId w:val="1037"/>
        </w:numPr>
      </w:pPr>
      <w:r>
        <w:rPr>
          <w:b/>
          <w:bCs/>
        </w:rPr>
        <w:t xml:space="preserve">Version Control:</w:t>
      </w:r>
      <w:r>
        <w:t xml:space="preserve"> </w:t>
      </w:r>
      <w:r>
        <w:t xml:space="preserve">Documentation of all plan changes</w:t>
      </w:r>
    </w:p>
    <w:p>
      <w:pPr>
        <w:pStyle w:val="Compact"/>
        <w:numPr>
          <w:ilvl w:val="0"/>
          <w:numId w:val="1037"/>
        </w:numPr>
      </w:pPr>
      <w:r>
        <w:rPr>
          <w:b/>
          <w:bCs/>
        </w:rPr>
        <w:t xml:space="preserve">Stakeholder Input:</w:t>
      </w:r>
      <w:r>
        <w:t xml:space="preserve"> </w:t>
      </w:r>
      <w:r>
        <w:t xml:space="preserve">Incorporation of user feedback</w:t>
      </w:r>
    </w:p>
    <w:bookmarkEnd w:id="59"/>
    <w:bookmarkStart w:id="60" w:name="continuous-improvement"/>
    <w:p>
      <w:pPr>
        <w:pStyle w:val="Heading3"/>
      </w:pPr>
      <w:r>
        <w:t xml:space="preserve">15.2 Continuous Improvement</w:t>
      </w:r>
    </w:p>
    <w:p>
      <w:pPr>
        <w:pStyle w:val="Compact"/>
        <w:numPr>
          <w:ilvl w:val="0"/>
          <w:numId w:val="1038"/>
        </w:numPr>
      </w:pPr>
      <w:r>
        <w:rPr>
          <w:b/>
          <w:bCs/>
        </w:rPr>
        <w:t xml:space="preserve">Process Optimization:</w:t>
      </w:r>
      <w:r>
        <w:t xml:space="preserve"> </w:t>
      </w:r>
      <w:r>
        <w:t xml:space="preserve">Regular efficiency assessments</w:t>
      </w:r>
    </w:p>
    <w:p>
      <w:pPr>
        <w:pStyle w:val="Compact"/>
        <w:numPr>
          <w:ilvl w:val="0"/>
          <w:numId w:val="1038"/>
        </w:numPr>
      </w:pPr>
      <w:r>
        <w:rPr>
          <w:b/>
          <w:bCs/>
        </w:rPr>
        <w:t xml:space="preserve">Technology Updates:</w:t>
      </w:r>
      <w:r>
        <w:t xml:space="preserve"> </w:t>
      </w:r>
      <w:r>
        <w:t xml:space="preserve">Adoption of new data management tools</w:t>
      </w:r>
    </w:p>
    <w:p>
      <w:pPr>
        <w:pStyle w:val="Compact"/>
        <w:numPr>
          <w:ilvl w:val="0"/>
          <w:numId w:val="1038"/>
        </w:numPr>
      </w:pPr>
      <w:r>
        <w:rPr>
          <w:b/>
          <w:bCs/>
        </w:rPr>
        <w:t xml:space="preserve">Best Practice Adoption:</w:t>
      </w:r>
      <w:r>
        <w:t xml:space="preserve"> </w:t>
      </w:r>
      <w:r>
        <w:t xml:space="preserve">Incorporation of industry standards</w:t>
      </w:r>
    </w:p>
    <w:p>
      <w:pPr>
        <w:pStyle w:val="Compact"/>
        <w:numPr>
          <w:ilvl w:val="0"/>
          <w:numId w:val="1038"/>
        </w:numPr>
      </w:pPr>
      <w:r>
        <w:rPr>
          <w:b/>
          <w:bCs/>
        </w:rPr>
        <w:t xml:space="preserve">Innovation:</w:t>
      </w:r>
      <w:r>
        <w:t xml:space="preserve"> </w:t>
      </w:r>
      <w:r>
        <w:t xml:space="preserve">Exploration of new data management approaches</w:t>
      </w:r>
    </w:p>
    <w:p>
      <w:r>
        <w:pict>
          <v:rect style="width:0;height:1.5pt" o:hralign="center" o:hrstd="t" o:hr="t"/>
        </w:pict>
      </w:r>
    </w:p>
    <w:bookmarkEnd w:id="60"/>
    <w:bookmarkEnd w:id="61"/>
    <w:bookmarkStart w:id="67" w:name="appendices"/>
    <w:p>
      <w:pPr>
        <w:pStyle w:val="Heading2"/>
      </w:pPr>
      <w:r>
        <w:t xml:space="preserve">Appendices</w:t>
      </w:r>
    </w:p>
    <w:bookmarkStart w:id="62" w:name="appendix-a-data-dictionary-template"/>
    <w:p>
      <w:pPr>
        <w:pStyle w:val="Heading3"/>
      </w:pPr>
      <w:r>
        <w:t xml:space="preserve">Appendix A: Data Dictionary Template</w:t>
      </w:r>
    </w:p>
    <w:bookmarkEnd w:id="62"/>
    <w:bookmarkStart w:id="63" w:name="appendix-b-data-entry-guidelines"/>
    <w:p>
      <w:pPr>
        <w:pStyle w:val="Heading3"/>
      </w:pPr>
      <w:r>
        <w:t xml:space="preserve">Appendix B: Data Entry Guidelines</w:t>
      </w:r>
    </w:p>
    <w:bookmarkEnd w:id="63"/>
    <w:bookmarkStart w:id="64" w:name="appendix-c-security-protocols"/>
    <w:p>
      <w:pPr>
        <w:pStyle w:val="Heading3"/>
      </w:pPr>
      <w:r>
        <w:t xml:space="preserve">Appendix C: Security Protocols</w:t>
      </w:r>
    </w:p>
    <w:bookmarkEnd w:id="64"/>
    <w:bookmarkStart w:id="65" w:name="appendix-d-backup-procedures"/>
    <w:p>
      <w:pPr>
        <w:pStyle w:val="Heading3"/>
      </w:pPr>
      <w:r>
        <w:t xml:space="preserve">Appendix D: Backup Procedures</w:t>
      </w:r>
    </w:p>
    <w:bookmarkEnd w:id="65"/>
    <w:bookmarkStart w:id="66" w:name="appendix-e-quality-control-checklists"/>
    <w:p>
      <w:pPr>
        <w:pStyle w:val="Heading3"/>
      </w:pPr>
      <w:r>
        <w:t xml:space="preserve">Appendix E: Quality Control Checklists</w:t>
      </w:r>
    </w:p>
    <w:p>
      <w:r>
        <w:pict>
          <v:rect style="width:0;height:1.5pt" o:hralign="center" o:hrstd="t" o:hr="t"/>
        </w:pict>
      </w:r>
    </w:p>
    <w:p>
      <w:pPr>
        <w:pStyle w:val="FirstParagraph"/>
      </w:pPr>
      <w:r>
        <w:rPr>
          <w:b/>
          <w:bCs/>
        </w:rPr>
        <w:t xml:space="preserve">Data Management Plan Approval:</w:t>
      </w:r>
    </w:p>
    <w:p>
      <w:pPr>
        <w:pStyle w:val="BodyText"/>
      </w:pPr>
      <w:r>
        <w:rPr>
          <w:b/>
          <w:bCs/>
        </w:rPr>
        <w:t xml:space="preserve">Prepared by:</w:t>
      </w:r>
      <w:r>
        <w:t xml:space="preserve"> </w:t>
      </w:r>
      <w:r>
        <w:t xml:space="preserve">__________ (Data Manager)</w:t>
      </w:r>
    </w:p>
    <w:p>
      <w:pPr>
        <w:pStyle w:val="BodyText"/>
      </w:pPr>
      <w:r>
        <w:rPr>
          <w:b/>
          <w:bCs/>
        </w:rPr>
        <w:t xml:space="preserve">Reviewed by:</w:t>
      </w:r>
      <w:r>
        <w:t xml:space="preserve"> </w:t>
      </w:r>
      <w:r>
        <w:t xml:space="preserve">__________ (Principal Investigator)</w:t>
      </w:r>
    </w:p>
    <w:p>
      <w:pPr>
        <w:pStyle w:val="BodyText"/>
      </w:pPr>
      <w:r>
        <w:rPr>
          <w:b/>
          <w:bCs/>
        </w:rPr>
        <w:t xml:space="preserve">Approved by:</w:t>
      </w:r>
      <w:r>
        <w:t xml:space="preserve"> </w:t>
      </w:r>
      <w:r>
        <w:t xml:space="preserve">__________ (Institution Head)</w:t>
      </w:r>
    </w:p>
    <w:p>
      <w:pPr>
        <w:pStyle w:val="BodyText"/>
      </w:pPr>
      <w:r>
        <w:rPr>
          <w:b/>
          <w:bCs/>
        </w:rPr>
        <w:t xml:space="preserve">Date:</w:t>
      </w:r>
      <w:r>
        <w:t xml:space="preserve"> </w:t>
      </w:r>
      <w:r>
        <w:t xml:space="preserve">__________</w:t>
      </w:r>
    </w:p>
    <w:p>
      <w:pPr>
        <w:pStyle w:val="BodyText"/>
      </w:pPr>
      <w:r>
        <w:rPr>
          <w:b/>
          <w:bCs/>
        </w:rPr>
        <w:t xml:space="preserve">Next Review Date:</w:t>
      </w:r>
      <w:r>
        <w:t xml:space="preserve"> </w:t>
      </w:r>
      <w:r>
        <w:t xml:space="preserve">__________</w:t>
      </w:r>
    </w:p>
    <w:bookmarkEnd w:id="66"/>
    <w:bookmarkEnd w:id="67"/>
    <w:bookmarkEnd w:id="6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2025-11-03T09:37:05Z</dcterms:created>
  <dcterms:modified xsi:type="dcterms:W3CDTF">2025-11-03T09:37:05Z</dcterms:modified>
</cp:coreProperties>
</file>

<file path=docProps/custom.xml><?xml version="1.0" encoding="utf-8"?>
<Properties xmlns="http://schemas.openxmlformats.org/officeDocument/2006/custom-properties" xmlns:vt="http://schemas.openxmlformats.org/officeDocument/2006/docPropsVTypes"/>
</file>