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6" w:name="X6b0711d54b4da179ecd8b067acf1c5c0ecfa1d1"/>
    <w:p>
      <w:pPr>
        <w:pStyle w:val="Heading1"/>
      </w:pPr>
      <w:r>
        <w:t xml:space="preserve">Dissemination Plan - Allergy Epidemiology Study</w:t>
      </w:r>
    </w:p>
    <w:p>
      <w:pPr>
        <w:pStyle w:val="FirstParagraph"/>
      </w:pPr>
      <w:r>
        <w:rPr>
          <w:b/>
          <w:bCs/>
        </w:rPr>
        <w:t xml:space="preserve">Study Title:</w:t>
      </w:r>
      <w:r>
        <w:t xml:space="preserve"> </w:t>
      </w:r>
      <w:r>
        <w:t xml:space="preserve">Epidemiological Study on Allergy in SIMS&amp;RH Tumkur, Karnataka</w:t>
      </w:r>
    </w:p>
    <w:p>
      <w:pPr>
        <w:pStyle w:val="BodyText"/>
      </w:pPr>
      <w:r>
        <w:rPr>
          <w:b/>
          <w:bCs/>
        </w:rPr>
        <w:t xml:space="preserve">Version:</w:t>
      </w:r>
      <w:r>
        <w:t xml:space="preserve"> </w:t>
      </w:r>
      <w:r>
        <w:t xml:space="preserve">1.0</w:t>
      </w:r>
    </w:p>
    <w:p>
      <w:pPr>
        <w:pStyle w:val="BodyText"/>
      </w:pPr>
      <w:r>
        <w:rPr>
          <w:b/>
          <w:bCs/>
        </w:rPr>
        <w:t xml:space="preserve">Date:</w:t>
      </w:r>
      <w:r>
        <w:t xml:space="preserve"> </w:t>
      </w:r>
      <w:r>
        <w:t xml:space="preserve">__________</w:t>
      </w:r>
    </w:p>
    <w:p>
      <w:r>
        <w:pict>
          <v:rect style="width:0;height:1.5pt" o:hralign="center" o:hrstd="t" o:hr="t"/>
        </w:pict>
      </w:r>
    </w:p>
    <w:bookmarkStart w:id="9" w:name="introduction"/>
    <w:p>
      <w:pPr>
        <w:pStyle w:val="Heading2"/>
      </w:pPr>
      <w:r>
        <w:t xml:space="preserve">1. Introduction</w:t>
      </w:r>
    </w:p>
    <w:p>
      <w:pPr>
        <w:pStyle w:val="FirstParagraph"/>
      </w:pPr>
      <w:r>
        <w:t xml:space="preserve">This dissemination plan outlines strategies for sharing study findings with various stakeholders including scientific community, healthcare providers, policymakers, and the general public. The plan ensures effective communication of research results to maximize impact and promote evidence-based allergy care in India.</w:t>
      </w:r>
    </w:p>
    <w:bookmarkEnd w:id="9"/>
    <w:bookmarkStart w:id="13" w:name="objectives-of-dissemination"/>
    <w:p>
      <w:pPr>
        <w:pStyle w:val="Heading2"/>
      </w:pPr>
      <w:r>
        <w:t xml:space="preserve">2. Objectives of Dissemination</w:t>
      </w:r>
    </w:p>
    <w:bookmarkStart w:id="10" w:name="scientific-objectives"/>
    <w:p>
      <w:pPr>
        <w:pStyle w:val="Heading3"/>
      </w:pPr>
      <w:r>
        <w:t xml:space="preserve">2.1 Scientific Objectives</w:t>
      </w:r>
    </w:p>
    <w:p>
      <w:pPr>
        <w:pStyle w:val="Compact"/>
        <w:numPr>
          <w:ilvl w:val="0"/>
          <w:numId w:val="1001"/>
        </w:numPr>
      </w:pPr>
      <w:r>
        <w:t xml:space="preserve">Contribute to the global body of allergy epidemiology knowledge</w:t>
      </w:r>
    </w:p>
    <w:p>
      <w:pPr>
        <w:pStyle w:val="Compact"/>
        <w:numPr>
          <w:ilvl w:val="0"/>
          <w:numId w:val="1001"/>
        </w:numPr>
      </w:pPr>
      <w:r>
        <w:t xml:space="preserve">Advance understanding of microbiome and microplastic associations with allergies</w:t>
      </w:r>
    </w:p>
    <w:p>
      <w:pPr>
        <w:pStyle w:val="Compact"/>
        <w:numPr>
          <w:ilvl w:val="0"/>
          <w:numId w:val="1001"/>
        </w:numPr>
      </w:pPr>
      <w:r>
        <w:t xml:space="preserve">Influence future research directions in allergy prevention and management</w:t>
      </w:r>
    </w:p>
    <w:bookmarkEnd w:id="10"/>
    <w:bookmarkStart w:id="11" w:name="public-health-objectives"/>
    <w:p>
      <w:pPr>
        <w:pStyle w:val="Heading3"/>
      </w:pPr>
      <w:r>
        <w:t xml:space="preserve">2.2 Public Health Objectives</w:t>
      </w:r>
    </w:p>
    <w:p>
      <w:pPr>
        <w:pStyle w:val="Compact"/>
        <w:numPr>
          <w:ilvl w:val="0"/>
          <w:numId w:val="1002"/>
        </w:numPr>
      </w:pPr>
      <w:r>
        <w:t xml:space="preserve">Inform local and national allergy control programs</w:t>
      </w:r>
    </w:p>
    <w:p>
      <w:pPr>
        <w:pStyle w:val="Compact"/>
        <w:numPr>
          <w:ilvl w:val="0"/>
          <w:numId w:val="1002"/>
        </w:numPr>
      </w:pPr>
      <w:r>
        <w:t xml:space="preserve">Guide healthcare policy and resource allocation</w:t>
      </w:r>
    </w:p>
    <w:p>
      <w:pPr>
        <w:pStyle w:val="Compact"/>
        <w:numPr>
          <w:ilvl w:val="0"/>
          <w:numId w:val="1002"/>
        </w:numPr>
      </w:pPr>
      <w:r>
        <w:t xml:space="preserve">Improve allergy diagnosis and management practices</w:t>
      </w:r>
    </w:p>
    <w:bookmarkEnd w:id="11"/>
    <w:bookmarkStart w:id="12" w:name="community-objectives"/>
    <w:p>
      <w:pPr>
        <w:pStyle w:val="Heading3"/>
      </w:pPr>
      <w:r>
        <w:t xml:space="preserve">2.3 Community Objectives</w:t>
      </w:r>
    </w:p>
    <w:p>
      <w:pPr>
        <w:pStyle w:val="Compact"/>
        <w:numPr>
          <w:ilvl w:val="0"/>
          <w:numId w:val="1003"/>
        </w:numPr>
      </w:pPr>
      <w:r>
        <w:t xml:space="preserve">Raise awareness about allergies in the local community</w:t>
      </w:r>
    </w:p>
    <w:p>
      <w:pPr>
        <w:pStyle w:val="Compact"/>
        <w:numPr>
          <w:ilvl w:val="0"/>
          <w:numId w:val="1003"/>
        </w:numPr>
      </w:pPr>
      <w:r>
        <w:t xml:space="preserve">Promote healthy lifestyles to prevent allergies</w:t>
      </w:r>
    </w:p>
    <w:p>
      <w:pPr>
        <w:pStyle w:val="Compact"/>
        <w:numPr>
          <w:ilvl w:val="0"/>
          <w:numId w:val="1003"/>
        </w:numPr>
      </w:pPr>
      <w:r>
        <w:t xml:space="preserve">Empower individuals with knowledge about allergy management</w:t>
      </w:r>
    </w:p>
    <w:bookmarkEnd w:id="12"/>
    <w:bookmarkEnd w:id="13"/>
    <w:bookmarkStart w:id="17" w:name="target-audiences"/>
    <w:p>
      <w:pPr>
        <w:pStyle w:val="Heading2"/>
      </w:pPr>
      <w:r>
        <w:t xml:space="preserve">3. Target Audiences</w:t>
      </w:r>
    </w:p>
    <w:bookmarkStart w:id="14" w:name="primary-audiences"/>
    <w:p>
      <w:pPr>
        <w:pStyle w:val="Heading3"/>
      </w:pPr>
      <w:r>
        <w:t xml:space="preserve">3.1 Primary Audiences</w:t>
      </w:r>
    </w:p>
    <w:p>
      <w:pPr>
        <w:pStyle w:val="Compact"/>
        <w:numPr>
          <w:ilvl w:val="0"/>
          <w:numId w:val="1004"/>
        </w:numPr>
      </w:pPr>
      <w:r>
        <w:rPr>
          <w:b/>
          <w:bCs/>
        </w:rPr>
        <w:t xml:space="preserve">Scientific Community:</w:t>
      </w:r>
      <w:r>
        <w:t xml:space="preserve"> </w:t>
      </w:r>
      <w:r>
        <w:t xml:space="preserve">Researchers, clinicians, and academics in allergy and immunology</w:t>
      </w:r>
    </w:p>
    <w:p>
      <w:pPr>
        <w:pStyle w:val="Compact"/>
        <w:numPr>
          <w:ilvl w:val="0"/>
          <w:numId w:val="1004"/>
        </w:numPr>
      </w:pPr>
      <w:r>
        <w:rPr>
          <w:b/>
          <w:bCs/>
        </w:rPr>
        <w:t xml:space="preserve">Healthcare Providers:</w:t>
      </w:r>
      <w:r>
        <w:t xml:space="preserve"> </w:t>
      </w:r>
      <w:r>
        <w:t xml:space="preserve">Physicians, nurses, and allied health professionals</w:t>
      </w:r>
    </w:p>
    <w:p>
      <w:pPr>
        <w:pStyle w:val="Compact"/>
        <w:numPr>
          <w:ilvl w:val="0"/>
          <w:numId w:val="1004"/>
        </w:numPr>
      </w:pPr>
      <w:r>
        <w:rPr>
          <w:b/>
          <w:bCs/>
        </w:rPr>
        <w:t xml:space="preserve">Policymakers:</w:t>
      </w:r>
      <w:r>
        <w:t xml:space="preserve"> </w:t>
      </w:r>
      <w:r>
        <w:t xml:space="preserve">Government officials, health department representatives</w:t>
      </w:r>
    </w:p>
    <w:p>
      <w:pPr>
        <w:pStyle w:val="Compact"/>
        <w:numPr>
          <w:ilvl w:val="0"/>
          <w:numId w:val="1004"/>
        </w:numPr>
      </w:pPr>
      <w:r>
        <w:rPr>
          <w:b/>
          <w:bCs/>
        </w:rPr>
        <w:t xml:space="preserve">Funding Agencies:</w:t>
      </w:r>
      <w:r>
        <w:t xml:space="preserve"> </w:t>
      </w:r>
      <w:r>
        <w:t xml:space="preserve">Organizations supporting allergy research</w:t>
      </w:r>
    </w:p>
    <w:bookmarkEnd w:id="14"/>
    <w:bookmarkStart w:id="15" w:name="secondary-audiences"/>
    <w:p>
      <w:pPr>
        <w:pStyle w:val="Heading3"/>
      </w:pPr>
      <w:r>
        <w:t xml:space="preserve">3.2 Secondary Audiences</w:t>
      </w:r>
    </w:p>
    <w:p>
      <w:pPr>
        <w:pStyle w:val="Compact"/>
        <w:numPr>
          <w:ilvl w:val="0"/>
          <w:numId w:val="1005"/>
        </w:numPr>
      </w:pPr>
      <w:r>
        <w:rPr>
          <w:b/>
          <w:bCs/>
        </w:rPr>
        <w:t xml:space="preserve">General Public:</w:t>
      </w:r>
      <w:r>
        <w:t xml:space="preserve"> </w:t>
      </w:r>
      <w:r>
        <w:t xml:space="preserve">Residents of Tumkur and Karnataka</w:t>
      </w:r>
    </w:p>
    <w:p>
      <w:pPr>
        <w:pStyle w:val="Compact"/>
        <w:numPr>
          <w:ilvl w:val="0"/>
          <w:numId w:val="1005"/>
        </w:numPr>
      </w:pPr>
      <w:r>
        <w:rPr>
          <w:b/>
          <w:bCs/>
        </w:rPr>
        <w:t xml:space="preserve">Patient Organizations:</w:t>
      </w:r>
      <w:r>
        <w:t xml:space="preserve"> </w:t>
      </w:r>
      <w:r>
        <w:t xml:space="preserve">Allergy support groups and patient advocacy organizations</w:t>
      </w:r>
    </w:p>
    <w:p>
      <w:pPr>
        <w:pStyle w:val="Compact"/>
        <w:numPr>
          <w:ilvl w:val="0"/>
          <w:numId w:val="1005"/>
        </w:numPr>
      </w:pPr>
      <w:r>
        <w:rPr>
          <w:b/>
          <w:bCs/>
        </w:rPr>
        <w:t xml:space="preserve">Media:</w:t>
      </w:r>
      <w:r>
        <w:t xml:space="preserve"> </w:t>
      </w:r>
      <w:r>
        <w:t xml:space="preserve">Journalists and health communicators</w:t>
      </w:r>
    </w:p>
    <w:p>
      <w:pPr>
        <w:pStyle w:val="Compact"/>
        <w:numPr>
          <w:ilvl w:val="0"/>
          <w:numId w:val="1005"/>
        </w:numPr>
      </w:pPr>
      <w:r>
        <w:rPr>
          <w:b/>
          <w:bCs/>
        </w:rPr>
        <w:t xml:space="preserve">Educational Institutions:</w:t>
      </w:r>
      <w:r>
        <w:t xml:space="preserve"> </w:t>
      </w:r>
      <w:r>
        <w:t xml:space="preserve">Medical colleges and public health schools</w:t>
      </w:r>
    </w:p>
    <w:bookmarkEnd w:id="15"/>
    <w:bookmarkStart w:id="16" w:name="key-stakeholders"/>
    <w:p>
      <w:pPr>
        <w:pStyle w:val="Heading3"/>
      </w:pPr>
      <w:r>
        <w:t xml:space="preserve">3.3 Key Stakeholders</w:t>
      </w:r>
    </w:p>
    <w:p>
      <w:pPr>
        <w:pStyle w:val="Compact"/>
        <w:numPr>
          <w:ilvl w:val="0"/>
          <w:numId w:val="1006"/>
        </w:numPr>
      </w:pPr>
      <w:r>
        <w:rPr>
          <w:b/>
          <w:bCs/>
        </w:rPr>
        <w:t xml:space="preserve">Local Community:</w:t>
      </w:r>
      <w:r>
        <w:t xml:space="preserve"> </w:t>
      </w:r>
      <w:r>
        <w:t xml:space="preserve">Study participants and their families</w:t>
      </w:r>
    </w:p>
    <w:p>
      <w:pPr>
        <w:pStyle w:val="Compact"/>
        <w:numPr>
          <w:ilvl w:val="0"/>
          <w:numId w:val="1006"/>
        </w:numPr>
      </w:pPr>
      <w:r>
        <w:rPr>
          <w:b/>
          <w:bCs/>
        </w:rPr>
        <w:t xml:space="preserve">Healthcare Institutions:</w:t>
      </w:r>
      <w:r>
        <w:t xml:space="preserve"> </w:t>
      </w:r>
      <w:r>
        <w:t xml:space="preserve">SIMS&amp;RH and other local hospitals</w:t>
      </w:r>
    </w:p>
    <w:p>
      <w:pPr>
        <w:pStyle w:val="Compact"/>
        <w:numPr>
          <w:ilvl w:val="0"/>
          <w:numId w:val="1006"/>
        </w:numPr>
      </w:pPr>
      <w:r>
        <w:rPr>
          <w:b/>
          <w:bCs/>
        </w:rPr>
        <w:t xml:space="preserve">Government Bodies:</w:t>
      </w:r>
      <w:r>
        <w:t xml:space="preserve"> </w:t>
      </w:r>
      <w:r>
        <w:t xml:space="preserve">District health authorities, Karnataka health department</w:t>
      </w:r>
    </w:p>
    <w:p>
      <w:pPr>
        <w:pStyle w:val="Compact"/>
        <w:numPr>
          <w:ilvl w:val="0"/>
          <w:numId w:val="1006"/>
        </w:numPr>
      </w:pPr>
      <w:r>
        <w:rPr>
          <w:b/>
          <w:bCs/>
        </w:rPr>
        <w:t xml:space="preserve">Professional Bodies:</w:t>
      </w:r>
      <w:r>
        <w:t xml:space="preserve"> </w:t>
      </w:r>
      <w:r>
        <w:t xml:space="preserve">Indian Medical Association, allergy societies</w:t>
      </w:r>
    </w:p>
    <w:bookmarkEnd w:id="16"/>
    <w:bookmarkEnd w:id="17"/>
    <w:bookmarkStart w:id="21" w:name="key-messages"/>
    <w:p>
      <w:pPr>
        <w:pStyle w:val="Heading2"/>
      </w:pPr>
      <w:r>
        <w:t xml:space="preserve">4. Key Messages</w:t>
      </w:r>
    </w:p>
    <w:bookmarkStart w:id="18" w:name="core-findings"/>
    <w:p>
      <w:pPr>
        <w:pStyle w:val="Heading3"/>
      </w:pPr>
      <w:r>
        <w:t xml:space="preserve">4.1 Core Findings</w:t>
      </w:r>
    </w:p>
    <w:p>
      <w:pPr>
        <w:pStyle w:val="Compact"/>
        <w:numPr>
          <w:ilvl w:val="0"/>
          <w:numId w:val="1007"/>
        </w:numPr>
      </w:pPr>
      <w:r>
        <w:t xml:space="preserve">Prevalence and distribution of allergic diseases in Tumkur</w:t>
      </w:r>
    </w:p>
    <w:p>
      <w:pPr>
        <w:pStyle w:val="Compact"/>
        <w:numPr>
          <w:ilvl w:val="0"/>
          <w:numId w:val="1007"/>
        </w:numPr>
      </w:pPr>
      <w:r>
        <w:t xml:space="preserve">Major risk factors and determinants identified</w:t>
      </w:r>
    </w:p>
    <w:p>
      <w:pPr>
        <w:pStyle w:val="Compact"/>
        <w:numPr>
          <w:ilvl w:val="0"/>
          <w:numId w:val="1007"/>
        </w:numPr>
      </w:pPr>
      <w:r>
        <w:t xml:space="preserve">Role of microbiome and microplastics in allergy development</w:t>
      </w:r>
    </w:p>
    <w:p>
      <w:pPr>
        <w:pStyle w:val="Compact"/>
        <w:numPr>
          <w:ilvl w:val="0"/>
          <w:numId w:val="1007"/>
        </w:numPr>
      </w:pPr>
      <w:r>
        <w:t xml:space="preserve">Quality of life impacts and treatment perceptions</w:t>
      </w:r>
    </w:p>
    <w:bookmarkEnd w:id="18"/>
    <w:bookmarkStart w:id="19" w:name="policy-implications"/>
    <w:p>
      <w:pPr>
        <w:pStyle w:val="Heading3"/>
      </w:pPr>
      <w:r>
        <w:t xml:space="preserve">4.2 Policy Implications</w:t>
      </w:r>
    </w:p>
    <w:p>
      <w:pPr>
        <w:pStyle w:val="Compact"/>
        <w:numPr>
          <w:ilvl w:val="0"/>
          <w:numId w:val="1008"/>
        </w:numPr>
      </w:pPr>
      <w:r>
        <w:t xml:space="preserve">Need for integrated allergy care programs</w:t>
      </w:r>
    </w:p>
    <w:p>
      <w:pPr>
        <w:pStyle w:val="Compact"/>
        <w:numPr>
          <w:ilvl w:val="0"/>
          <w:numId w:val="1008"/>
        </w:numPr>
      </w:pPr>
      <w:r>
        <w:t xml:space="preserve">Importance of environmental monitoring</w:t>
      </w:r>
    </w:p>
    <w:p>
      <w:pPr>
        <w:pStyle w:val="Compact"/>
        <w:numPr>
          <w:ilvl w:val="0"/>
          <w:numId w:val="1008"/>
        </w:numPr>
      </w:pPr>
      <w:r>
        <w:t xml:space="preserve">Recommendations for preventive strategies</w:t>
      </w:r>
    </w:p>
    <w:p>
      <w:pPr>
        <w:pStyle w:val="Compact"/>
        <w:numPr>
          <w:ilvl w:val="0"/>
          <w:numId w:val="1008"/>
        </w:numPr>
      </w:pPr>
      <w:r>
        <w:t xml:space="preserve">Resource allocation for allergy services</w:t>
      </w:r>
    </w:p>
    <w:bookmarkEnd w:id="19"/>
    <w:bookmarkStart w:id="20" w:name="practice-implications"/>
    <w:p>
      <w:pPr>
        <w:pStyle w:val="Heading3"/>
      </w:pPr>
      <w:r>
        <w:t xml:space="preserve">4.3 Practice Implications</w:t>
      </w:r>
    </w:p>
    <w:p>
      <w:pPr>
        <w:pStyle w:val="Compact"/>
        <w:numPr>
          <w:ilvl w:val="0"/>
          <w:numId w:val="1009"/>
        </w:numPr>
      </w:pPr>
      <w:r>
        <w:t xml:space="preserve">Improved diagnostic approaches</w:t>
      </w:r>
    </w:p>
    <w:p>
      <w:pPr>
        <w:pStyle w:val="Compact"/>
        <w:numPr>
          <w:ilvl w:val="0"/>
          <w:numId w:val="1009"/>
        </w:numPr>
      </w:pPr>
      <w:r>
        <w:t xml:space="preserve">Enhanced treatment strategies</w:t>
      </w:r>
    </w:p>
    <w:p>
      <w:pPr>
        <w:pStyle w:val="Compact"/>
        <w:numPr>
          <w:ilvl w:val="0"/>
          <w:numId w:val="1009"/>
        </w:numPr>
      </w:pPr>
      <w:r>
        <w:t xml:space="preserve">Community-based prevention programs</w:t>
      </w:r>
    </w:p>
    <w:p>
      <w:pPr>
        <w:pStyle w:val="Compact"/>
        <w:numPr>
          <w:ilvl w:val="0"/>
          <w:numId w:val="1009"/>
        </w:numPr>
      </w:pPr>
      <w:r>
        <w:t xml:space="preserve">Capacity building for healthcare providers</w:t>
      </w:r>
    </w:p>
    <w:bookmarkEnd w:id="20"/>
    <w:bookmarkEnd w:id="21"/>
    <w:bookmarkStart w:id="40" w:name="dissemination-strategies"/>
    <w:p>
      <w:pPr>
        <w:pStyle w:val="Heading2"/>
      </w:pPr>
      <w:r>
        <w:t xml:space="preserve">5. Dissemination Strategies</w:t>
      </w:r>
    </w:p>
    <w:bookmarkStart w:id="25" w:name="scientific-publications"/>
    <w:p>
      <w:pPr>
        <w:pStyle w:val="Heading3"/>
      </w:pPr>
      <w:r>
        <w:t xml:space="preserve">5.1 Scientific Publications</w:t>
      </w:r>
    </w:p>
    <w:bookmarkStart w:id="22" w:name="peer-reviewed-journals"/>
    <w:p>
      <w:pPr>
        <w:pStyle w:val="Heading4"/>
      </w:pPr>
      <w:r>
        <w:t xml:space="preserve">Peer-Reviewed Journals</w:t>
      </w:r>
    </w:p>
    <w:p>
      <w:pPr>
        <w:pStyle w:val="Compact"/>
        <w:numPr>
          <w:ilvl w:val="0"/>
          <w:numId w:val="1010"/>
        </w:numPr>
      </w:pPr>
      <w:r>
        <w:rPr>
          <w:b/>
          <w:bCs/>
        </w:rPr>
        <w:t xml:space="preserve">Primary Manuscript:</w:t>
      </w:r>
      <w:r>
        <w:t xml:space="preserve"> </w:t>
      </w:r>
      <w:r>
        <w:t xml:space="preserve">Prevalence and risk factors (target: high-impact journal)</w:t>
      </w:r>
    </w:p>
    <w:p>
      <w:pPr>
        <w:pStyle w:val="Compact"/>
        <w:numPr>
          <w:ilvl w:val="0"/>
          <w:numId w:val="1010"/>
        </w:numPr>
      </w:pPr>
      <w:r>
        <w:rPr>
          <w:b/>
          <w:bCs/>
        </w:rPr>
        <w:t xml:space="preserve">Secondary Manuscripts:</w:t>
      </w:r>
    </w:p>
    <w:p>
      <w:pPr>
        <w:pStyle w:val="Compact"/>
        <w:numPr>
          <w:ilvl w:val="1"/>
          <w:numId w:val="1011"/>
        </w:numPr>
      </w:pPr>
      <w:r>
        <w:t xml:space="preserve">Microbiome associations (target: allergy/immunology journals)</w:t>
      </w:r>
    </w:p>
    <w:p>
      <w:pPr>
        <w:pStyle w:val="Compact"/>
        <w:numPr>
          <w:ilvl w:val="1"/>
          <w:numId w:val="1011"/>
        </w:numPr>
      </w:pPr>
      <w:r>
        <w:t xml:space="preserve">Microplastic exposure analysis (target: environmental health journals)</w:t>
      </w:r>
    </w:p>
    <w:p>
      <w:pPr>
        <w:pStyle w:val="Compact"/>
        <w:numPr>
          <w:ilvl w:val="1"/>
          <w:numId w:val="1011"/>
        </w:numPr>
      </w:pPr>
      <w:r>
        <w:t xml:space="preserve">Spatial epidemiology findings (target: epidemiology journals)</w:t>
      </w:r>
    </w:p>
    <w:p>
      <w:pPr>
        <w:pStyle w:val="Compact"/>
        <w:numPr>
          <w:ilvl w:val="1"/>
          <w:numId w:val="1011"/>
        </w:numPr>
      </w:pPr>
      <w:r>
        <w:t xml:space="preserve">Quality of life and treatment perceptions (target: patient care journals)</w:t>
      </w:r>
    </w:p>
    <w:bookmarkEnd w:id="22"/>
    <w:bookmarkStart w:id="23" w:name="publication-timeline"/>
    <w:p>
      <w:pPr>
        <w:pStyle w:val="Heading4"/>
      </w:pPr>
      <w:r>
        <w:t xml:space="preserve">Publication Timeline</w:t>
      </w:r>
    </w:p>
    <w:p>
      <w:pPr>
        <w:pStyle w:val="Compact"/>
        <w:numPr>
          <w:ilvl w:val="0"/>
          <w:numId w:val="1012"/>
        </w:numPr>
      </w:pPr>
      <w:r>
        <w:t xml:space="preserve">Month 12-14: Draft manuscripts</w:t>
      </w:r>
    </w:p>
    <w:p>
      <w:pPr>
        <w:pStyle w:val="Compact"/>
        <w:numPr>
          <w:ilvl w:val="0"/>
          <w:numId w:val="1012"/>
        </w:numPr>
      </w:pPr>
      <w:r>
        <w:t xml:space="preserve">Month 15-16: Submission and revisions</w:t>
      </w:r>
    </w:p>
    <w:p>
      <w:pPr>
        <w:pStyle w:val="Compact"/>
        <w:numPr>
          <w:ilvl w:val="0"/>
          <w:numId w:val="1012"/>
        </w:numPr>
      </w:pPr>
      <w:r>
        <w:t xml:space="preserve">Month 17-18: Publication process</w:t>
      </w:r>
    </w:p>
    <w:bookmarkEnd w:id="23"/>
    <w:bookmarkStart w:id="24" w:name="authorship-policy"/>
    <w:p>
      <w:pPr>
        <w:pStyle w:val="Heading4"/>
      </w:pPr>
      <w:r>
        <w:t xml:space="preserve">Authorship Policy</w:t>
      </w:r>
    </w:p>
    <w:p>
      <w:pPr>
        <w:pStyle w:val="Compact"/>
        <w:numPr>
          <w:ilvl w:val="0"/>
          <w:numId w:val="1013"/>
        </w:numPr>
      </w:pPr>
      <w:r>
        <w:t xml:space="preserve">Based on ICMJE criteria</w:t>
      </w:r>
    </w:p>
    <w:p>
      <w:pPr>
        <w:pStyle w:val="Compact"/>
        <w:numPr>
          <w:ilvl w:val="0"/>
          <w:numId w:val="1013"/>
        </w:numPr>
      </w:pPr>
      <w:r>
        <w:t xml:space="preserve">Principal Investigator as corresponding author</w:t>
      </w:r>
    </w:p>
    <w:p>
      <w:pPr>
        <w:pStyle w:val="Compact"/>
        <w:numPr>
          <w:ilvl w:val="0"/>
          <w:numId w:val="1013"/>
        </w:numPr>
      </w:pPr>
      <w:r>
        <w:t xml:space="preserve">Co-investigators and key contributors as authors</w:t>
      </w:r>
    </w:p>
    <w:p>
      <w:pPr>
        <w:pStyle w:val="Compact"/>
        <w:numPr>
          <w:ilvl w:val="0"/>
          <w:numId w:val="1013"/>
        </w:numPr>
      </w:pPr>
      <w:r>
        <w:t xml:space="preserve">Acknowledgment of funding and institutional support</w:t>
      </w:r>
    </w:p>
    <w:bookmarkEnd w:id="24"/>
    <w:bookmarkEnd w:id="25"/>
    <w:bookmarkStart w:id="29" w:name="conference-presentations"/>
    <w:p>
      <w:pPr>
        <w:pStyle w:val="Heading3"/>
      </w:pPr>
      <w:r>
        <w:t xml:space="preserve">5.2 Conference Presentations</w:t>
      </w:r>
    </w:p>
    <w:bookmarkStart w:id="26" w:name="national-conferences"/>
    <w:p>
      <w:pPr>
        <w:pStyle w:val="Heading4"/>
      </w:pPr>
      <w:r>
        <w:t xml:space="preserve">National Conferences</w:t>
      </w:r>
    </w:p>
    <w:p>
      <w:pPr>
        <w:pStyle w:val="Compact"/>
        <w:numPr>
          <w:ilvl w:val="0"/>
          <w:numId w:val="1014"/>
        </w:numPr>
      </w:pPr>
      <w:r>
        <w:rPr>
          <w:b/>
          <w:bCs/>
        </w:rPr>
        <w:t xml:space="preserve">Indian College of Allergy, Asthma &amp; Immunology (ICAAI)</w:t>
      </w:r>
    </w:p>
    <w:p>
      <w:pPr>
        <w:pStyle w:val="Compact"/>
        <w:numPr>
          <w:ilvl w:val="0"/>
          <w:numId w:val="1014"/>
        </w:numPr>
      </w:pPr>
      <w:r>
        <w:rPr>
          <w:b/>
          <w:bCs/>
        </w:rPr>
        <w:t xml:space="preserve">National Conference on Allergy and Immunology</w:t>
      </w:r>
    </w:p>
    <w:p>
      <w:pPr>
        <w:pStyle w:val="Compact"/>
        <w:numPr>
          <w:ilvl w:val="0"/>
          <w:numId w:val="1014"/>
        </w:numPr>
      </w:pPr>
      <w:r>
        <w:rPr>
          <w:b/>
          <w:bCs/>
        </w:rPr>
        <w:t xml:space="preserve">Indian Public Health Association Conference</w:t>
      </w:r>
    </w:p>
    <w:p>
      <w:pPr>
        <w:pStyle w:val="Compact"/>
        <w:numPr>
          <w:ilvl w:val="0"/>
          <w:numId w:val="1014"/>
        </w:numPr>
      </w:pPr>
      <w:r>
        <w:rPr>
          <w:b/>
          <w:bCs/>
        </w:rPr>
        <w:t xml:space="preserve">Karnataka Medical Association Meetings</w:t>
      </w:r>
    </w:p>
    <w:bookmarkEnd w:id="26"/>
    <w:bookmarkStart w:id="27" w:name="international-conferences"/>
    <w:p>
      <w:pPr>
        <w:pStyle w:val="Heading4"/>
      </w:pPr>
      <w:r>
        <w:t xml:space="preserve">International Conferences</w:t>
      </w:r>
    </w:p>
    <w:p>
      <w:pPr>
        <w:pStyle w:val="Compact"/>
        <w:numPr>
          <w:ilvl w:val="0"/>
          <w:numId w:val="1015"/>
        </w:numPr>
      </w:pPr>
      <w:r>
        <w:rPr>
          <w:b/>
          <w:bCs/>
        </w:rPr>
        <w:t xml:space="preserve">World Allergy Organization Congress</w:t>
      </w:r>
    </w:p>
    <w:p>
      <w:pPr>
        <w:pStyle w:val="Compact"/>
        <w:numPr>
          <w:ilvl w:val="0"/>
          <w:numId w:val="1015"/>
        </w:numPr>
      </w:pPr>
      <w:r>
        <w:rPr>
          <w:b/>
          <w:bCs/>
        </w:rPr>
        <w:t xml:space="preserve">European Academy of Allergy and Clinical Immunology</w:t>
      </w:r>
    </w:p>
    <w:p>
      <w:pPr>
        <w:pStyle w:val="Compact"/>
        <w:numPr>
          <w:ilvl w:val="0"/>
          <w:numId w:val="1015"/>
        </w:numPr>
      </w:pPr>
      <w:r>
        <w:rPr>
          <w:b/>
          <w:bCs/>
        </w:rPr>
        <w:t xml:space="preserve">American Academy of Allergy, Asthma &amp; Immunology</w:t>
      </w:r>
    </w:p>
    <w:p>
      <w:pPr>
        <w:pStyle w:val="Compact"/>
        <w:numPr>
          <w:ilvl w:val="0"/>
          <w:numId w:val="1015"/>
        </w:numPr>
      </w:pPr>
      <w:r>
        <w:rPr>
          <w:b/>
          <w:bCs/>
        </w:rPr>
        <w:t xml:space="preserve">Asia Pacific Association of Allergy, Asthma &amp; Clinical Immunology</w:t>
      </w:r>
    </w:p>
    <w:bookmarkEnd w:id="27"/>
    <w:bookmarkStart w:id="28" w:name="presentation-formats"/>
    <w:p>
      <w:pPr>
        <w:pStyle w:val="Heading4"/>
      </w:pPr>
      <w:r>
        <w:t xml:space="preserve">Presentation Formats</w:t>
      </w:r>
    </w:p>
    <w:p>
      <w:pPr>
        <w:pStyle w:val="Compact"/>
        <w:numPr>
          <w:ilvl w:val="0"/>
          <w:numId w:val="1016"/>
        </w:numPr>
      </w:pPr>
      <w:r>
        <w:t xml:space="preserve">Oral presentations for major findings</w:t>
      </w:r>
    </w:p>
    <w:p>
      <w:pPr>
        <w:pStyle w:val="Compact"/>
        <w:numPr>
          <w:ilvl w:val="0"/>
          <w:numId w:val="1016"/>
        </w:numPr>
      </w:pPr>
      <w:r>
        <w:t xml:space="preserve">Poster presentations for detailed results</w:t>
      </w:r>
    </w:p>
    <w:p>
      <w:pPr>
        <w:pStyle w:val="Compact"/>
        <w:numPr>
          <w:ilvl w:val="0"/>
          <w:numId w:val="1016"/>
        </w:numPr>
      </w:pPr>
      <w:r>
        <w:t xml:space="preserve">Workshops on methodology and implications</w:t>
      </w:r>
    </w:p>
    <w:p>
      <w:pPr>
        <w:pStyle w:val="Compact"/>
        <w:numPr>
          <w:ilvl w:val="0"/>
          <w:numId w:val="1016"/>
        </w:numPr>
      </w:pPr>
      <w:r>
        <w:t xml:space="preserve">Symposia on regional allergy patterns</w:t>
      </w:r>
    </w:p>
    <w:bookmarkEnd w:id="28"/>
    <w:bookmarkEnd w:id="29"/>
    <w:bookmarkStart w:id="32" w:name="policy-engagement"/>
    <w:p>
      <w:pPr>
        <w:pStyle w:val="Heading3"/>
      </w:pPr>
      <w:r>
        <w:t xml:space="preserve">5.3 Policy Engagement</w:t>
      </w:r>
    </w:p>
    <w:bookmarkStart w:id="30" w:name="government-stakeholders"/>
    <w:p>
      <w:pPr>
        <w:pStyle w:val="Heading4"/>
      </w:pPr>
      <w:r>
        <w:t xml:space="preserve">Government Stakeholders</w:t>
      </w:r>
    </w:p>
    <w:p>
      <w:pPr>
        <w:pStyle w:val="Compact"/>
        <w:numPr>
          <w:ilvl w:val="0"/>
          <w:numId w:val="1017"/>
        </w:numPr>
      </w:pPr>
      <w:r>
        <w:rPr>
          <w:b/>
          <w:bCs/>
        </w:rPr>
        <w:t xml:space="preserve">District Health Authorities:</w:t>
      </w:r>
      <w:r>
        <w:t xml:space="preserve"> </w:t>
      </w:r>
      <w:r>
        <w:t xml:space="preserve">Direct presentation of findings</w:t>
      </w:r>
    </w:p>
    <w:p>
      <w:pPr>
        <w:pStyle w:val="Compact"/>
        <w:numPr>
          <w:ilvl w:val="0"/>
          <w:numId w:val="1017"/>
        </w:numPr>
      </w:pPr>
      <w:r>
        <w:rPr>
          <w:b/>
          <w:bCs/>
        </w:rPr>
        <w:t xml:space="preserve">Karnataka Health Department:</w:t>
      </w:r>
      <w:r>
        <w:t xml:space="preserve"> </w:t>
      </w:r>
      <w:r>
        <w:t xml:space="preserve">Policy recommendations</w:t>
      </w:r>
    </w:p>
    <w:p>
      <w:pPr>
        <w:pStyle w:val="Compact"/>
        <w:numPr>
          <w:ilvl w:val="0"/>
          <w:numId w:val="1017"/>
        </w:numPr>
      </w:pPr>
      <w:r>
        <w:rPr>
          <w:b/>
          <w:bCs/>
        </w:rPr>
        <w:t xml:space="preserve">Ministry of Health and Family Welfare:</w:t>
      </w:r>
      <w:r>
        <w:t xml:space="preserve"> </w:t>
      </w:r>
      <w:r>
        <w:t xml:space="preserve">National implications</w:t>
      </w:r>
    </w:p>
    <w:p>
      <w:pPr>
        <w:pStyle w:val="Compact"/>
        <w:numPr>
          <w:ilvl w:val="0"/>
          <w:numId w:val="1017"/>
        </w:numPr>
      </w:pPr>
      <w:r>
        <w:rPr>
          <w:b/>
          <w:bCs/>
        </w:rPr>
        <w:t xml:space="preserve">Local Government Bodies:</w:t>
      </w:r>
      <w:r>
        <w:t xml:space="preserve"> </w:t>
      </w:r>
      <w:r>
        <w:t xml:space="preserve">Community-level interventions</w:t>
      </w:r>
    </w:p>
    <w:bookmarkEnd w:id="30"/>
    <w:bookmarkStart w:id="31" w:name="policy-products"/>
    <w:p>
      <w:pPr>
        <w:pStyle w:val="Heading4"/>
      </w:pPr>
      <w:r>
        <w:t xml:space="preserve">Policy Products</w:t>
      </w:r>
    </w:p>
    <w:p>
      <w:pPr>
        <w:pStyle w:val="Compact"/>
        <w:numPr>
          <w:ilvl w:val="0"/>
          <w:numId w:val="1018"/>
        </w:numPr>
      </w:pPr>
      <w:r>
        <w:rPr>
          <w:b/>
          <w:bCs/>
        </w:rPr>
        <w:t xml:space="preserve">Policy Briefs:</w:t>
      </w:r>
      <w:r>
        <w:t xml:space="preserve"> </w:t>
      </w:r>
      <w:r>
        <w:t xml:space="preserve">2-4 page summaries for decision-makers</w:t>
      </w:r>
    </w:p>
    <w:p>
      <w:pPr>
        <w:pStyle w:val="Compact"/>
        <w:numPr>
          <w:ilvl w:val="0"/>
          <w:numId w:val="1018"/>
        </w:numPr>
      </w:pPr>
      <w:r>
        <w:rPr>
          <w:b/>
          <w:bCs/>
        </w:rPr>
        <w:t xml:space="preserve">Technical Reports:</w:t>
      </w:r>
      <w:r>
        <w:t xml:space="preserve"> </w:t>
      </w:r>
      <w:r>
        <w:t xml:space="preserve">Detailed findings for technical audiences</w:t>
      </w:r>
    </w:p>
    <w:p>
      <w:pPr>
        <w:pStyle w:val="Compact"/>
        <w:numPr>
          <w:ilvl w:val="0"/>
          <w:numId w:val="1018"/>
        </w:numPr>
      </w:pPr>
      <w:r>
        <w:rPr>
          <w:b/>
          <w:bCs/>
        </w:rPr>
        <w:t xml:space="preserve">Executive Summaries:</w:t>
      </w:r>
      <w:r>
        <w:t xml:space="preserve"> </w:t>
      </w:r>
      <w:r>
        <w:t xml:space="preserve">Key messages for busy officials</w:t>
      </w:r>
    </w:p>
    <w:p>
      <w:pPr>
        <w:pStyle w:val="Compact"/>
        <w:numPr>
          <w:ilvl w:val="0"/>
          <w:numId w:val="1018"/>
        </w:numPr>
      </w:pPr>
      <w:r>
        <w:rPr>
          <w:b/>
          <w:bCs/>
        </w:rPr>
        <w:t xml:space="preserve">Infographics:</w:t>
      </w:r>
      <w:r>
        <w:t xml:space="preserve"> </w:t>
      </w:r>
      <w:r>
        <w:t xml:space="preserve">Visual representations of key data</w:t>
      </w:r>
    </w:p>
    <w:bookmarkEnd w:id="31"/>
    <w:bookmarkEnd w:id="32"/>
    <w:bookmarkStart w:id="35" w:name="community-outreach"/>
    <w:p>
      <w:pPr>
        <w:pStyle w:val="Heading3"/>
      </w:pPr>
      <w:r>
        <w:t xml:space="preserve">5.4 Community Outreach</w:t>
      </w:r>
    </w:p>
    <w:bookmarkStart w:id="33" w:name="local-community-programs"/>
    <w:p>
      <w:pPr>
        <w:pStyle w:val="Heading4"/>
      </w:pPr>
      <w:r>
        <w:t xml:space="preserve">Local Community Programs</w:t>
      </w:r>
    </w:p>
    <w:p>
      <w:pPr>
        <w:pStyle w:val="Compact"/>
        <w:numPr>
          <w:ilvl w:val="0"/>
          <w:numId w:val="1019"/>
        </w:numPr>
      </w:pPr>
      <w:r>
        <w:rPr>
          <w:b/>
          <w:bCs/>
        </w:rPr>
        <w:t xml:space="preserve">Community Meetings:</w:t>
      </w:r>
      <w:r>
        <w:t xml:space="preserve"> </w:t>
      </w:r>
      <w:r>
        <w:t xml:space="preserve">Presentation of findings to study participants</w:t>
      </w:r>
    </w:p>
    <w:p>
      <w:pPr>
        <w:pStyle w:val="Compact"/>
        <w:numPr>
          <w:ilvl w:val="0"/>
          <w:numId w:val="1019"/>
        </w:numPr>
      </w:pPr>
      <w:r>
        <w:rPr>
          <w:b/>
          <w:bCs/>
        </w:rPr>
        <w:t xml:space="preserve">Health Camps:</w:t>
      </w:r>
      <w:r>
        <w:t xml:space="preserve"> </w:t>
      </w:r>
      <w:r>
        <w:t xml:space="preserve">Integration of allergy screening and education</w:t>
      </w:r>
    </w:p>
    <w:p>
      <w:pPr>
        <w:pStyle w:val="Compact"/>
        <w:numPr>
          <w:ilvl w:val="0"/>
          <w:numId w:val="1019"/>
        </w:numPr>
      </w:pPr>
      <w:r>
        <w:rPr>
          <w:b/>
          <w:bCs/>
        </w:rPr>
        <w:t xml:space="preserve">School Programs:</w:t>
      </w:r>
      <w:r>
        <w:t xml:space="preserve"> </w:t>
      </w:r>
      <w:r>
        <w:t xml:space="preserve">Allergy awareness for children and teachers</w:t>
      </w:r>
    </w:p>
    <w:p>
      <w:pPr>
        <w:pStyle w:val="Compact"/>
        <w:numPr>
          <w:ilvl w:val="0"/>
          <w:numId w:val="1019"/>
        </w:numPr>
      </w:pPr>
      <w:r>
        <w:rPr>
          <w:b/>
          <w:bCs/>
        </w:rPr>
        <w:t xml:space="preserve">Workplace Seminars:</w:t>
      </w:r>
      <w:r>
        <w:t xml:space="preserve"> </w:t>
      </w:r>
      <w:r>
        <w:t xml:space="preserve">Occupational allergy prevention</w:t>
      </w:r>
    </w:p>
    <w:bookmarkEnd w:id="33"/>
    <w:bookmarkStart w:id="34" w:name="public-education-materials"/>
    <w:p>
      <w:pPr>
        <w:pStyle w:val="Heading4"/>
      </w:pPr>
      <w:r>
        <w:t xml:space="preserve">Public Education Materials</w:t>
      </w:r>
    </w:p>
    <w:p>
      <w:pPr>
        <w:pStyle w:val="Compact"/>
        <w:numPr>
          <w:ilvl w:val="0"/>
          <w:numId w:val="1020"/>
        </w:numPr>
      </w:pPr>
      <w:r>
        <w:rPr>
          <w:b/>
          <w:bCs/>
        </w:rPr>
        <w:t xml:space="preserve">Brochures:</w:t>
      </w:r>
      <w:r>
        <w:t xml:space="preserve"> </w:t>
      </w:r>
      <w:r>
        <w:t xml:space="preserve">Simple explanations of study findings</w:t>
      </w:r>
    </w:p>
    <w:p>
      <w:pPr>
        <w:pStyle w:val="Compact"/>
        <w:numPr>
          <w:ilvl w:val="0"/>
          <w:numId w:val="1020"/>
        </w:numPr>
      </w:pPr>
      <w:r>
        <w:rPr>
          <w:b/>
          <w:bCs/>
        </w:rPr>
        <w:t xml:space="preserve">Posters:</w:t>
      </w:r>
      <w:r>
        <w:t xml:space="preserve"> </w:t>
      </w:r>
      <w:r>
        <w:t xml:space="preserve">Visual displays in public places</w:t>
      </w:r>
    </w:p>
    <w:p>
      <w:pPr>
        <w:pStyle w:val="Compact"/>
        <w:numPr>
          <w:ilvl w:val="0"/>
          <w:numId w:val="1020"/>
        </w:numPr>
      </w:pPr>
      <w:r>
        <w:rPr>
          <w:b/>
          <w:bCs/>
        </w:rPr>
        <w:t xml:space="preserve">Videos:</w:t>
      </w:r>
      <w:r>
        <w:t xml:space="preserve"> </w:t>
      </w:r>
      <w:r>
        <w:t xml:space="preserve">Short educational videos in local languages</w:t>
      </w:r>
    </w:p>
    <w:p>
      <w:pPr>
        <w:pStyle w:val="Compact"/>
        <w:numPr>
          <w:ilvl w:val="0"/>
          <w:numId w:val="1020"/>
        </w:numPr>
      </w:pPr>
      <w:r>
        <w:rPr>
          <w:b/>
          <w:bCs/>
        </w:rPr>
        <w:t xml:space="preserve">Social Media Campaigns:</w:t>
      </w:r>
      <w:r>
        <w:t xml:space="preserve"> </w:t>
      </w:r>
      <w:r>
        <w:t xml:space="preserve">Regular posts on allergy awareness</w:t>
      </w:r>
    </w:p>
    <w:bookmarkEnd w:id="34"/>
    <w:bookmarkEnd w:id="35"/>
    <w:bookmarkStart w:id="39" w:name="media-engagement"/>
    <w:p>
      <w:pPr>
        <w:pStyle w:val="Heading3"/>
      </w:pPr>
      <w:r>
        <w:t xml:space="preserve">5.5 Media Engagement</w:t>
      </w:r>
    </w:p>
    <w:bookmarkStart w:id="36" w:name="press-releases"/>
    <w:p>
      <w:pPr>
        <w:pStyle w:val="Heading4"/>
      </w:pPr>
      <w:r>
        <w:t xml:space="preserve">Press Releases</w:t>
      </w:r>
    </w:p>
    <w:p>
      <w:pPr>
        <w:pStyle w:val="Compact"/>
        <w:numPr>
          <w:ilvl w:val="0"/>
          <w:numId w:val="1021"/>
        </w:numPr>
      </w:pPr>
      <w:r>
        <w:rPr>
          <w:b/>
          <w:bCs/>
        </w:rPr>
        <w:t xml:space="preserve">Initial Release:</w:t>
      </w:r>
      <w:r>
        <w:t xml:space="preserve"> </w:t>
      </w:r>
      <w:r>
        <w:t xml:space="preserve">Study completion and major findings</w:t>
      </w:r>
    </w:p>
    <w:p>
      <w:pPr>
        <w:pStyle w:val="Compact"/>
        <w:numPr>
          <w:ilvl w:val="0"/>
          <w:numId w:val="1021"/>
        </w:numPr>
      </w:pPr>
      <w:r>
        <w:rPr>
          <w:b/>
          <w:bCs/>
        </w:rPr>
        <w:t xml:space="preserve">Follow-up Releases:</w:t>
      </w:r>
      <w:r>
        <w:t xml:space="preserve"> </w:t>
      </w:r>
      <w:r>
        <w:t xml:space="preserve">Publication of key papers</w:t>
      </w:r>
    </w:p>
    <w:p>
      <w:pPr>
        <w:pStyle w:val="Compact"/>
        <w:numPr>
          <w:ilvl w:val="0"/>
          <w:numId w:val="1021"/>
        </w:numPr>
      </w:pPr>
      <w:r>
        <w:rPr>
          <w:b/>
          <w:bCs/>
        </w:rPr>
        <w:t xml:space="preserve">Policy Impact Releases:</w:t>
      </w:r>
      <w:r>
        <w:t xml:space="preserve"> </w:t>
      </w:r>
      <w:r>
        <w:t xml:space="preserve">When findings influence policy</w:t>
      </w:r>
    </w:p>
    <w:bookmarkEnd w:id="36"/>
    <w:bookmarkStart w:id="37" w:name="media-outreach"/>
    <w:p>
      <w:pPr>
        <w:pStyle w:val="Heading4"/>
      </w:pPr>
      <w:r>
        <w:t xml:space="preserve">Media Outreach</w:t>
      </w:r>
    </w:p>
    <w:p>
      <w:pPr>
        <w:pStyle w:val="Compact"/>
        <w:numPr>
          <w:ilvl w:val="0"/>
          <w:numId w:val="1022"/>
        </w:numPr>
      </w:pPr>
      <w:r>
        <w:rPr>
          <w:b/>
          <w:bCs/>
        </w:rPr>
        <w:t xml:space="preserve">Local Media:</w:t>
      </w:r>
      <w:r>
        <w:t xml:space="preserve"> </w:t>
      </w:r>
      <w:r>
        <w:t xml:space="preserve">Kannada newspapers, radio, and TV</w:t>
      </w:r>
    </w:p>
    <w:p>
      <w:pPr>
        <w:pStyle w:val="Compact"/>
        <w:numPr>
          <w:ilvl w:val="0"/>
          <w:numId w:val="1022"/>
        </w:numPr>
      </w:pPr>
      <w:r>
        <w:rPr>
          <w:b/>
          <w:bCs/>
        </w:rPr>
        <w:t xml:space="preserve">National Media:</w:t>
      </w:r>
      <w:r>
        <w:t xml:space="preserve"> </w:t>
      </w:r>
      <w:r>
        <w:t xml:space="preserve">Health and science sections</w:t>
      </w:r>
    </w:p>
    <w:p>
      <w:pPr>
        <w:pStyle w:val="Compact"/>
        <w:numPr>
          <w:ilvl w:val="0"/>
          <w:numId w:val="1022"/>
        </w:numPr>
      </w:pPr>
      <w:r>
        <w:rPr>
          <w:b/>
          <w:bCs/>
        </w:rPr>
        <w:t xml:space="preserve">Online Platforms:</w:t>
      </w:r>
      <w:r>
        <w:t xml:space="preserve"> </w:t>
      </w:r>
      <w:r>
        <w:t xml:space="preserve">Health websites and blogs</w:t>
      </w:r>
    </w:p>
    <w:p>
      <w:pPr>
        <w:pStyle w:val="Compact"/>
        <w:numPr>
          <w:ilvl w:val="0"/>
          <w:numId w:val="1022"/>
        </w:numPr>
      </w:pPr>
      <w:r>
        <w:rPr>
          <w:b/>
          <w:bCs/>
        </w:rPr>
        <w:t xml:space="preserve">Social Media:</w:t>
      </w:r>
      <w:r>
        <w:t xml:space="preserve"> </w:t>
      </w:r>
      <w:r>
        <w:t xml:space="preserve">Twitter, Facebook, Instagram campaigns</w:t>
      </w:r>
    </w:p>
    <w:bookmarkEnd w:id="37"/>
    <w:bookmarkStart w:id="38" w:name="media-training"/>
    <w:p>
      <w:pPr>
        <w:pStyle w:val="Heading4"/>
      </w:pPr>
      <w:r>
        <w:t xml:space="preserve">Media Training</w:t>
      </w:r>
    </w:p>
    <w:p>
      <w:pPr>
        <w:pStyle w:val="Compact"/>
        <w:numPr>
          <w:ilvl w:val="0"/>
          <w:numId w:val="1023"/>
        </w:numPr>
      </w:pPr>
      <w:r>
        <w:t xml:space="preserve">Spokesperson training for key investigators</w:t>
      </w:r>
    </w:p>
    <w:p>
      <w:pPr>
        <w:pStyle w:val="Compact"/>
        <w:numPr>
          <w:ilvl w:val="0"/>
          <w:numId w:val="1023"/>
        </w:numPr>
      </w:pPr>
      <w:r>
        <w:t xml:space="preserve">Key message development</w:t>
      </w:r>
    </w:p>
    <w:p>
      <w:pPr>
        <w:pStyle w:val="Compact"/>
        <w:numPr>
          <w:ilvl w:val="0"/>
          <w:numId w:val="1023"/>
        </w:numPr>
      </w:pPr>
      <w:r>
        <w:t xml:space="preserve">Media kit preparation</w:t>
      </w:r>
    </w:p>
    <w:p>
      <w:pPr>
        <w:pStyle w:val="Compact"/>
        <w:numPr>
          <w:ilvl w:val="0"/>
          <w:numId w:val="1023"/>
        </w:numPr>
      </w:pPr>
      <w:r>
        <w:t xml:space="preserve">Interview preparation and practice</w:t>
      </w:r>
    </w:p>
    <w:bookmarkEnd w:id="38"/>
    <w:bookmarkEnd w:id="39"/>
    <w:bookmarkEnd w:id="40"/>
    <w:bookmarkStart w:id="44" w:name="communication-channels"/>
    <w:p>
      <w:pPr>
        <w:pStyle w:val="Heading2"/>
      </w:pPr>
      <w:r>
        <w:t xml:space="preserve">6. Communication Channels</w:t>
      </w:r>
    </w:p>
    <w:bookmarkStart w:id="41" w:name="digital-platforms"/>
    <w:p>
      <w:pPr>
        <w:pStyle w:val="Heading3"/>
      </w:pPr>
      <w:r>
        <w:t xml:space="preserve">6.1 Digital Platforms</w:t>
      </w:r>
    </w:p>
    <w:p>
      <w:pPr>
        <w:pStyle w:val="Compact"/>
        <w:numPr>
          <w:ilvl w:val="0"/>
          <w:numId w:val="1024"/>
        </w:numPr>
      </w:pPr>
      <w:r>
        <w:rPr>
          <w:b/>
          <w:bCs/>
        </w:rPr>
        <w:t xml:space="preserve">Study Website:</w:t>
      </w:r>
      <w:r>
        <w:t xml:space="preserve"> </w:t>
      </w:r>
      <w:r>
        <w:t xml:space="preserve">Dedicated website with findings and resources</w:t>
      </w:r>
    </w:p>
    <w:p>
      <w:pPr>
        <w:pStyle w:val="Compact"/>
        <w:numPr>
          <w:ilvl w:val="0"/>
          <w:numId w:val="1024"/>
        </w:numPr>
      </w:pPr>
      <w:r>
        <w:rPr>
          <w:b/>
          <w:bCs/>
        </w:rPr>
        <w:t xml:space="preserve">Social Media:</w:t>
      </w:r>
      <w:r>
        <w:t xml:space="preserve"> </w:t>
      </w:r>
      <w:r>
        <w:t xml:space="preserve">Regular updates and engagement</w:t>
      </w:r>
    </w:p>
    <w:p>
      <w:pPr>
        <w:pStyle w:val="Compact"/>
        <w:numPr>
          <w:ilvl w:val="0"/>
          <w:numId w:val="1024"/>
        </w:numPr>
      </w:pPr>
      <w:r>
        <w:rPr>
          <w:b/>
          <w:bCs/>
        </w:rPr>
        <w:t xml:space="preserve">Email Newsletters:</w:t>
      </w:r>
      <w:r>
        <w:t xml:space="preserve"> </w:t>
      </w:r>
      <w:r>
        <w:t xml:space="preserve">Updates to stakeholders</w:t>
      </w:r>
    </w:p>
    <w:p>
      <w:pPr>
        <w:pStyle w:val="Compact"/>
        <w:numPr>
          <w:ilvl w:val="0"/>
          <w:numId w:val="1024"/>
        </w:numPr>
      </w:pPr>
      <w:r>
        <w:rPr>
          <w:b/>
          <w:bCs/>
        </w:rPr>
        <w:t xml:space="preserve">Online Repositories:</w:t>
      </w:r>
      <w:r>
        <w:t xml:space="preserve"> </w:t>
      </w:r>
      <w:r>
        <w:t xml:space="preserve">Data and publications sharing</w:t>
      </w:r>
    </w:p>
    <w:bookmarkEnd w:id="41"/>
    <w:bookmarkStart w:id="42" w:name="print-materials"/>
    <w:p>
      <w:pPr>
        <w:pStyle w:val="Heading3"/>
      </w:pPr>
      <w:r>
        <w:t xml:space="preserve">6.2 Print Materials</w:t>
      </w:r>
    </w:p>
    <w:p>
      <w:pPr>
        <w:pStyle w:val="Compact"/>
        <w:numPr>
          <w:ilvl w:val="0"/>
          <w:numId w:val="1025"/>
        </w:numPr>
      </w:pPr>
      <w:r>
        <w:rPr>
          <w:b/>
          <w:bCs/>
        </w:rPr>
        <w:t xml:space="preserve">Reports:</w:t>
      </w:r>
      <w:r>
        <w:t xml:space="preserve"> </w:t>
      </w:r>
      <w:r>
        <w:t xml:space="preserve">Full technical reports and summaries</w:t>
      </w:r>
    </w:p>
    <w:p>
      <w:pPr>
        <w:pStyle w:val="Compact"/>
        <w:numPr>
          <w:ilvl w:val="0"/>
          <w:numId w:val="1025"/>
        </w:numPr>
      </w:pPr>
      <w:r>
        <w:rPr>
          <w:b/>
          <w:bCs/>
        </w:rPr>
        <w:t xml:space="preserve">Brochures:</w:t>
      </w:r>
      <w:r>
        <w:t xml:space="preserve"> </w:t>
      </w:r>
      <w:r>
        <w:t xml:space="preserve">Community-friendly information</w:t>
      </w:r>
    </w:p>
    <w:p>
      <w:pPr>
        <w:pStyle w:val="Compact"/>
        <w:numPr>
          <w:ilvl w:val="0"/>
          <w:numId w:val="1025"/>
        </w:numPr>
      </w:pPr>
      <w:r>
        <w:rPr>
          <w:b/>
          <w:bCs/>
        </w:rPr>
        <w:t xml:space="preserve">Posters:</w:t>
      </w:r>
      <w:r>
        <w:t xml:space="preserve"> </w:t>
      </w:r>
      <w:r>
        <w:t xml:space="preserve">Conference and community displays</w:t>
      </w:r>
    </w:p>
    <w:p>
      <w:pPr>
        <w:pStyle w:val="Compact"/>
        <w:numPr>
          <w:ilvl w:val="0"/>
          <w:numId w:val="1025"/>
        </w:numPr>
      </w:pPr>
      <w:r>
        <w:rPr>
          <w:b/>
          <w:bCs/>
        </w:rPr>
        <w:t xml:space="preserve">Newsletters:</w:t>
      </w:r>
      <w:r>
        <w:t xml:space="preserve"> </w:t>
      </w:r>
      <w:r>
        <w:t xml:space="preserve">Regular updates to interested parties</w:t>
      </w:r>
    </w:p>
    <w:bookmarkEnd w:id="42"/>
    <w:bookmarkStart w:id="43" w:name="personal-communication"/>
    <w:p>
      <w:pPr>
        <w:pStyle w:val="Heading3"/>
      </w:pPr>
      <w:r>
        <w:t xml:space="preserve">6.3 Personal Communication</w:t>
      </w:r>
    </w:p>
    <w:p>
      <w:pPr>
        <w:pStyle w:val="Compact"/>
        <w:numPr>
          <w:ilvl w:val="0"/>
          <w:numId w:val="1026"/>
        </w:numPr>
      </w:pPr>
      <w:r>
        <w:rPr>
          <w:b/>
          <w:bCs/>
        </w:rPr>
        <w:t xml:space="preserve">Stakeholder Meetings:</w:t>
      </w:r>
      <w:r>
        <w:t xml:space="preserve"> </w:t>
      </w:r>
      <w:r>
        <w:t xml:space="preserve">One-on-one discussions with key individuals</w:t>
      </w:r>
    </w:p>
    <w:p>
      <w:pPr>
        <w:pStyle w:val="Compact"/>
        <w:numPr>
          <w:ilvl w:val="0"/>
          <w:numId w:val="1026"/>
        </w:numPr>
      </w:pPr>
      <w:r>
        <w:rPr>
          <w:b/>
          <w:bCs/>
        </w:rPr>
        <w:t xml:space="preserve">Workshops:</w:t>
      </w:r>
      <w:r>
        <w:t xml:space="preserve"> </w:t>
      </w:r>
      <w:r>
        <w:t xml:space="preserve">Interactive sessions with healthcare providers</w:t>
      </w:r>
    </w:p>
    <w:p>
      <w:pPr>
        <w:pStyle w:val="Compact"/>
        <w:numPr>
          <w:ilvl w:val="0"/>
          <w:numId w:val="1026"/>
        </w:numPr>
      </w:pPr>
      <w:r>
        <w:rPr>
          <w:b/>
          <w:bCs/>
        </w:rPr>
        <w:t xml:space="preserve">Webinars:</w:t>
      </w:r>
      <w:r>
        <w:t xml:space="preserve"> </w:t>
      </w:r>
      <w:r>
        <w:t xml:space="preserve">Online presentations for wider audiences</w:t>
      </w:r>
    </w:p>
    <w:p>
      <w:pPr>
        <w:pStyle w:val="Compact"/>
        <w:numPr>
          <w:ilvl w:val="0"/>
          <w:numId w:val="1026"/>
        </w:numPr>
      </w:pPr>
      <w:r>
        <w:rPr>
          <w:b/>
          <w:bCs/>
        </w:rPr>
        <w:t xml:space="preserve">Site Visits:</w:t>
      </w:r>
      <w:r>
        <w:t xml:space="preserve"> </w:t>
      </w:r>
      <w:r>
        <w:t xml:space="preserve">Direct engagement with local communities</w:t>
      </w:r>
    </w:p>
    <w:bookmarkEnd w:id="43"/>
    <w:bookmarkEnd w:id="44"/>
    <w:bookmarkStart w:id="45" w:name="timeline-for-dissemination-activities"/>
    <w:p>
      <w:pPr>
        <w:pStyle w:val="Heading2"/>
      </w:pPr>
      <w:r>
        <w:t xml:space="preserve">7. Timeline for Dissemination Activities</w:t>
      </w:r>
    </w:p>
    <w:tbl>
      <w:tblPr>
        <w:tblStyle w:val="Table"/>
        <w:tblW w:type="pct" w:w="5000"/>
        <w:tblLayout w:type="fixed"/>
        <w:tblLook w:firstRow="1" w:lastRow="0" w:firstColumn="0" w:lastColumn="0" w:noHBand="0" w:noVBand="0" w:val="0020"/>
      </w:tblPr>
      <w:tblGrid>
        <w:gridCol w:w="1320"/>
        <w:gridCol w:w="1885"/>
        <w:gridCol w:w="3205"/>
        <w:gridCol w:w="1508"/>
      </w:tblGrid>
      <w:tr>
        <w:trPr>
          <w:tblHeader w:val="on"/>
        </w:trPr>
        <w:tc>
          <w:tcPr/>
          <w:p>
            <w:pPr>
              <w:pStyle w:val="Compact"/>
            </w:pPr>
            <w:r>
              <w:t xml:space="preserve">Month</w:t>
            </w:r>
          </w:p>
        </w:tc>
        <w:tc>
          <w:tcPr/>
          <w:p>
            <w:pPr>
              <w:pStyle w:val="Compact"/>
            </w:pPr>
            <w:r>
              <w:t xml:space="preserve">Activity</w:t>
            </w:r>
          </w:p>
        </w:tc>
        <w:tc>
          <w:tcPr/>
          <w:p>
            <w:pPr>
              <w:pStyle w:val="Compact"/>
            </w:pPr>
            <w:r>
              <w:t xml:space="preserve">Target Audience</w:t>
            </w:r>
          </w:p>
        </w:tc>
        <w:tc>
          <w:tcPr/>
          <w:p>
            <w:pPr>
              <w:pStyle w:val="Compact"/>
            </w:pPr>
            <w:r>
              <w:t xml:space="preserve">Format</w:t>
            </w:r>
          </w:p>
        </w:tc>
      </w:tr>
      <w:tr>
        <w:tc>
          <w:tcPr/>
          <w:p>
            <w:pPr>
              <w:pStyle w:val="Compact"/>
            </w:pPr>
            <w:r>
              <w:t xml:space="preserve">12-13</w:t>
            </w:r>
          </w:p>
        </w:tc>
        <w:tc>
          <w:tcPr/>
          <w:p>
            <w:pPr>
              <w:pStyle w:val="Compact"/>
            </w:pPr>
            <w:r>
              <w:t xml:space="preserve">Internal dissemination</w:t>
            </w:r>
          </w:p>
        </w:tc>
        <w:tc>
          <w:tcPr/>
          <w:p>
            <w:pPr>
              <w:pStyle w:val="Compact"/>
            </w:pPr>
            <w:r>
              <w:t xml:space="preserve">Research team</w:t>
            </w:r>
          </w:p>
        </w:tc>
        <w:tc>
          <w:tcPr/>
          <w:p>
            <w:pPr>
              <w:pStyle w:val="Compact"/>
            </w:pPr>
            <w:r>
              <w:t xml:space="preserve">Team meetings</w:t>
            </w:r>
          </w:p>
        </w:tc>
      </w:tr>
      <w:tr>
        <w:tc>
          <w:tcPr/>
          <w:p>
            <w:pPr>
              <w:pStyle w:val="Compact"/>
            </w:pPr>
            <w:r>
              <w:t xml:space="preserve">14</w:t>
            </w:r>
          </w:p>
        </w:tc>
        <w:tc>
          <w:tcPr/>
          <w:p>
            <w:pPr>
              <w:pStyle w:val="Compact"/>
            </w:pPr>
            <w:r>
              <w:t xml:space="preserve">Preliminary findings</w:t>
            </w:r>
          </w:p>
        </w:tc>
        <w:tc>
          <w:tcPr/>
          <w:p>
            <w:pPr>
              <w:pStyle w:val="Compact"/>
            </w:pPr>
            <w:r>
              <w:t xml:space="preserve">Local stakeholders</w:t>
            </w:r>
          </w:p>
        </w:tc>
        <w:tc>
          <w:tcPr/>
          <w:p>
            <w:pPr>
              <w:pStyle w:val="Compact"/>
            </w:pPr>
            <w:r>
              <w:t xml:space="preserve">Community meetings</w:t>
            </w:r>
          </w:p>
        </w:tc>
      </w:tr>
      <w:tr>
        <w:tc>
          <w:tcPr/>
          <w:p>
            <w:pPr>
              <w:pStyle w:val="Compact"/>
            </w:pPr>
            <w:r>
              <w:t xml:space="preserve">15</w:t>
            </w:r>
          </w:p>
        </w:tc>
        <w:tc>
          <w:tcPr/>
          <w:p>
            <w:pPr>
              <w:pStyle w:val="Compact"/>
            </w:pPr>
            <w:r>
              <w:t xml:space="preserve">Manuscript submission</w:t>
            </w:r>
          </w:p>
        </w:tc>
        <w:tc>
          <w:tcPr/>
          <w:p>
            <w:pPr>
              <w:pStyle w:val="Compact"/>
            </w:pPr>
            <w:r>
              <w:t xml:space="preserve">Scientific community</w:t>
            </w:r>
          </w:p>
        </w:tc>
        <w:tc>
          <w:tcPr/>
          <w:p>
            <w:pPr>
              <w:pStyle w:val="Compact"/>
            </w:pPr>
            <w:r>
              <w:t xml:space="preserve">Journal articles</w:t>
            </w:r>
          </w:p>
        </w:tc>
      </w:tr>
      <w:tr>
        <w:tc>
          <w:tcPr/>
          <w:p>
            <w:pPr>
              <w:pStyle w:val="Compact"/>
            </w:pPr>
            <w:r>
              <w:t xml:space="preserve">15-16</w:t>
            </w:r>
          </w:p>
        </w:tc>
        <w:tc>
          <w:tcPr/>
          <w:p>
            <w:pPr>
              <w:pStyle w:val="Compact"/>
            </w:pPr>
            <w:r>
              <w:t xml:space="preserve">Conference presentations</w:t>
            </w:r>
          </w:p>
        </w:tc>
        <w:tc>
          <w:tcPr/>
          <w:p>
            <w:pPr>
              <w:pStyle w:val="Compact"/>
            </w:pPr>
            <w:r>
              <w:t xml:space="preserve">Professional audiences</w:t>
            </w:r>
          </w:p>
        </w:tc>
        <w:tc>
          <w:tcPr/>
          <w:p>
            <w:pPr>
              <w:pStyle w:val="Compact"/>
            </w:pPr>
            <w:r>
              <w:t xml:space="preserve">Oral/poster presentations</w:t>
            </w:r>
          </w:p>
        </w:tc>
      </w:tr>
      <w:tr>
        <w:tc>
          <w:tcPr/>
          <w:p>
            <w:pPr>
              <w:pStyle w:val="Compact"/>
            </w:pPr>
            <w:r>
              <w:t xml:space="preserve">16</w:t>
            </w:r>
          </w:p>
        </w:tc>
        <w:tc>
          <w:tcPr/>
          <w:p>
            <w:pPr>
              <w:pStyle w:val="Compact"/>
            </w:pPr>
            <w:r>
              <w:t xml:space="preserve">Policy engagement</w:t>
            </w:r>
          </w:p>
        </w:tc>
        <w:tc>
          <w:tcPr/>
          <w:p>
            <w:pPr>
              <w:pStyle w:val="Compact"/>
            </w:pPr>
            <w:r>
              <w:t xml:space="preserve">Government officials</w:t>
            </w:r>
          </w:p>
        </w:tc>
        <w:tc>
          <w:tcPr/>
          <w:p>
            <w:pPr>
              <w:pStyle w:val="Compact"/>
            </w:pPr>
            <w:r>
              <w:t xml:space="preserve">Policy briefs, meetings</w:t>
            </w:r>
          </w:p>
        </w:tc>
      </w:tr>
      <w:tr>
        <w:tc>
          <w:tcPr/>
          <w:p>
            <w:pPr>
              <w:pStyle w:val="Compact"/>
            </w:pPr>
            <w:r>
              <w:t xml:space="preserve">16-17</w:t>
            </w:r>
          </w:p>
        </w:tc>
        <w:tc>
          <w:tcPr/>
          <w:p>
            <w:pPr>
              <w:pStyle w:val="Compact"/>
            </w:pPr>
            <w:r>
              <w:t xml:space="preserve">Media outreach</w:t>
            </w:r>
          </w:p>
        </w:tc>
        <w:tc>
          <w:tcPr/>
          <w:p>
            <w:pPr>
              <w:pStyle w:val="Compact"/>
            </w:pPr>
            <w:r>
              <w:t xml:space="preserve">General public</w:t>
            </w:r>
          </w:p>
        </w:tc>
        <w:tc>
          <w:tcPr/>
          <w:p>
            <w:pPr>
              <w:pStyle w:val="Compact"/>
            </w:pPr>
            <w:r>
              <w:t xml:space="preserve">Press releases, interviews</w:t>
            </w:r>
          </w:p>
        </w:tc>
      </w:tr>
      <w:tr>
        <w:tc>
          <w:tcPr/>
          <w:p>
            <w:pPr>
              <w:pStyle w:val="Compact"/>
            </w:pPr>
            <w:r>
              <w:t xml:space="preserve">17-18</w:t>
            </w:r>
          </w:p>
        </w:tc>
        <w:tc>
          <w:tcPr/>
          <w:p>
            <w:pPr>
              <w:pStyle w:val="Compact"/>
            </w:pPr>
            <w:r>
              <w:t xml:space="preserve">Publication releases</w:t>
            </w:r>
          </w:p>
        </w:tc>
        <w:tc>
          <w:tcPr/>
          <w:p>
            <w:pPr>
              <w:pStyle w:val="Compact"/>
            </w:pPr>
            <w:r>
              <w:t xml:space="preserve">All audiences</w:t>
            </w:r>
          </w:p>
        </w:tc>
        <w:tc>
          <w:tcPr/>
          <w:p>
            <w:pPr>
              <w:pStyle w:val="Compact"/>
            </w:pPr>
            <w:r>
              <w:t xml:space="preserve">Social media, newsletters</w:t>
            </w:r>
          </w:p>
        </w:tc>
      </w:tr>
      <w:tr>
        <w:tc>
          <w:tcPr/>
          <w:p>
            <w:pPr>
              <w:pStyle w:val="Compact"/>
            </w:pPr>
            <w:r>
              <w:t xml:space="preserve">18-24</w:t>
            </w:r>
          </w:p>
        </w:tc>
        <w:tc>
          <w:tcPr/>
          <w:p>
            <w:pPr>
              <w:pStyle w:val="Compact"/>
            </w:pPr>
            <w:r>
              <w:t xml:space="preserve">Follow-up dissemination</w:t>
            </w:r>
          </w:p>
        </w:tc>
        <w:tc>
          <w:tcPr/>
          <w:p>
            <w:pPr>
              <w:pStyle w:val="Compact"/>
            </w:pPr>
            <w:r>
              <w:t xml:space="preserve">All stakeholders</w:t>
            </w:r>
          </w:p>
        </w:tc>
        <w:tc>
          <w:tcPr/>
          <w:p>
            <w:pPr>
              <w:pStyle w:val="Compact"/>
            </w:pPr>
            <w:r>
              <w:t xml:space="preserve">Workshops, webinars</w:t>
            </w:r>
          </w:p>
        </w:tc>
      </w:tr>
    </w:tbl>
    <w:bookmarkEnd w:id="45"/>
    <w:bookmarkStart w:id="49" w:name="resources-required"/>
    <w:p>
      <w:pPr>
        <w:pStyle w:val="Heading2"/>
      </w:pPr>
      <w:r>
        <w:t xml:space="preserve">8. Resources Required</w:t>
      </w:r>
    </w:p>
    <w:bookmarkStart w:id="46" w:name="personnel"/>
    <w:p>
      <w:pPr>
        <w:pStyle w:val="Heading3"/>
      </w:pPr>
      <w:r>
        <w:t xml:space="preserve">8.1 Personnel</w:t>
      </w:r>
    </w:p>
    <w:p>
      <w:pPr>
        <w:pStyle w:val="Compact"/>
        <w:numPr>
          <w:ilvl w:val="0"/>
          <w:numId w:val="1027"/>
        </w:numPr>
      </w:pPr>
      <w:r>
        <w:rPr>
          <w:b/>
          <w:bCs/>
        </w:rPr>
        <w:t xml:space="preserve">Communications Specialist:</w:t>
      </w:r>
      <w:r>
        <w:t xml:space="preserve"> </w:t>
      </w:r>
      <w:r>
        <w:t xml:space="preserve">6 months full-time</w:t>
      </w:r>
    </w:p>
    <w:p>
      <w:pPr>
        <w:pStyle w:val="Compact"/>
        <w:numPr>
          <w:ilvl w:val="0"/>
          <w:numId w:val="1027"/>
        </w:numPr>
      </w:pPr>
      <w:r>
        <w:rPr>
          <w:b/>
          <w:bCs/>
        </w:rPr>
        <w:t xml:space="preserve">Data Visualization Expert:</w:t>
      </w:r>
      <w:r>
        <w:t xml:space="preserve"> </w:t>
      </w:r>
      <w:r>
        <w:t xml:space="preserve">3 months part-time</w:t>
      </w:r>
    </w:p>
    <w:p>
      <w:pPr>
        <w:pStyle w:val="Compact"/>
        <w:numPr>
          <w:ilvl w:val="0"/>
          <w:numId w:val="1027"/>
        </w:numPr>
      </w:pPr>
      <w:r>
        <w:rPr>
          <w:b/>
          <w:bCs/>
        </w:rPr>
        <w:t xml:space="preserve">Policy Analyst:</w:t>
      </w:r>
      <w:r>
        <w:t xml:space="preserve"> </w:t>
      </w:r>
      <w:r>
        <w:t xml:space="preserve">4 months part-time</w:t>
      </w:r>
    </w:p>
    <w:p>
      <w:pPr>
        <w:pStyle w:val="Compact"/>
        <w:numPr>
          <w:ilvl w:val="0"/>
          <w:numId w:val="1027"/>
        </w:numPr>
      </w:pPr>
      <w:r>
        <w:rPr>
          <w:b/>
          <w:bCs/>
        </w:rPr>
        <w:t xml:space="preserve">Community Liaison Officer:</w:t>
      </w:r>
      <w:r>
        <w:t xml:space="preserve"> </w:t>
      </w:r>
      <w:r>
        <w:t xml:space="preserve">6 months full-time</w:t>
      </w:r>
    </w:p>
    <w:bookmarkEnd w:id="46"/>
    <w:bookmarkStart w:id="47" w:name="budget-allocation"/>
    <w:p>
      <w:pPr>
        <w:pStyle w:val="Heading3"/>
      </w:pPr>
      <w:r>
        <w:t xml:space="preserve">8.2 Budget Allocation</w:t>
      </w:r>
    </w:p>
    <w:p>
      <w:pPr>
        <w:pStyle w:val="Compact"/>
        <w:numPr>
          <w:ilvl w:val="0"/>
          <w:numId w:val="1028"/>
        </w:numPr>
      </w:pPr>
      <w:r>
        <w:rPr>
          <w:b/>
          <w:bCs/>
        </w:rPr>
        <w:t xml:space="preserve">Publications:</w:t>
      </w:r>
      <w:r>
        <w:t xml:space="preserve"> </w:t>
      </w:r>
      <w:r>
        <w:t xml:space="preserve">₹1,00,000 (open access fees, editing)</w:t>
      </w:r>
    </w:p>
    <w:p>
      <w:pPr>
        <w:pStyle w:val="Compact"/>
        <w:numPr>
          <w:ilvl w:val="0"/>
          <w:numId w:val="1028"/>
        </w:numPr>
      </w:pPr>
      <w:r>
        <w:rPr>
          <w:b/>
          <w:bCs/>
        </w:rPr>
        <w:t xml:space="preserve">Conferences:</w:t>
      </w:r>
      <w:r>
        <w:t xml:space="preserve"> </w:t>
      </w:r>
      <w:r>
        <w:t xml:space="preserve">₹1,50,000 (registration, travel)</w:t>
      </w:r>
    </w:p>
    <w:p>
      <w:pPr>
        <w:pStyle w:val="Compact"/>
        <w:numPr>
          <w:ilvl w:val="0"/>
          <w:numId w:val="1028"/>
        </w:numPr>
      </w:pPr>
      <w:r>
        <w:rPr>
          <w:b/>
          <w:bCs/>
        </w:rPr>
        <w:t xml:space="preserve">Communication Materials:</w:t>
      </w:r>
      <w:r>
        <w:t xml:space="preserve"> </w:t>
      </w:r>
      <w:r>
        <w:t xml:space="preserve">₹50,000 (printing, design)</w:t>
      </w:r>
    </w:p>
    <w:p>
      <w:pPr>
        <w:pStyle w:val="Compact"/>
        <w:numPr>
          <w:ilvl w:val="0"/>
          <w:numId w:val="1028"/>
        </w:numPr>
      </w:pPr>
      <w:r>
        <w:rPr>
          <w:b/>
          <w:bCs/>
        </w:rPr>
        <w:t xml:space="preserve">Media Outreach:</w:t>
      </w:r>
      <w:r>
        <w:t xml:space="preserve"> </w:t>
      </w:r>
      <w:r>
        <w:t xml:space="preserve">₹30,000 (press kits, advertisements)</w:t>
      </w:r>
    </w:p>
    <w:p>
      <w:pPr>
        <w:pStyle w:val="Compact"/>
        <w:numPr>
          <w:ilvl w:val="0"/>
          <w:numId w:val="1028"/>
        </w:numPr>
      </w:pPr>
      <w:r>
        <w:rPr>
          <w:b/>
          <w:bCs/>
        </w:rPr>
        <w:t xml:space="preserve">Website Development:</w:t>
      </w:r>
      <w:r>
        <w:t xml:space="preserve"> </w:t>
      </w:r>
      <w:r>
        <w:t xml:space="preserve">₹20,000</w:t>
      </w:r>
    </w:p>
    <w:p>
      <w:pPr>
        <w:pStyle w:val="Compact"/>
        <w:numPr>
          <w:ilvl w:val="0"/>
          <w:numId w:val="1028"/>
        </w:numPr>
      </w:pPr>
      <w:r>
        <w:rPr>
          <w:b/>
          <w:bCs/>
        </w:rPr>
        <w:t xml:space="preserve">Total Dissemination Budget:</w:t>
      </w:r>
      <w:r>
        <w:t xml:space="preserve"> </w:t>
      </w:r>
      <w:r>
        <w:t xml:space="preserve">₹3,50,000</w:t>
      </w:r>
    </w:p>
    <w:bookmarkEnd w:id="47"/>
    <w:bookmarkStart w:id="48" w:name="materials-and-tools"/>
    <w:p>
      <w:pPr>
        <w:pStyle w:val="Heading3"/>
      </w:pPr>
      <w:r>
        <w:t xml:space="preserve">8.3 Materials and Tools</w:t>
      </w:r>
    </w:p>
    <w:p>
      <w:pPr>
        <w:pStyle w:val="Compact"/>
        <w:numPr>
          <w:ilvl w:val="0"/>
          <w:numId w:val="1029"/>
        </w:numPr>
      </w:pPr>
      <w:r>
        <w:rPr>
          <w:b/>
          <w:bCs/>
        </w:rPr>
        <w:t xml:space="preserve">Presentation Templates:</w:t>
      </w:r>
      <w:r>
        <w:t xml:space="preserve"> </w:t>
      </w:r>
      <w:r>
        <w:t xml:space="preserve">Standardized slides and formats</w:t>
      </w:r>
    </w:p>
    <w:p>
      <w:pPr>
        <w:pStyle w:val="Compact"/>
        <w:numPr>
          <w:ilvl w:val="0"/>
          <w:numId w:val="1029"/>
        </w:numPr>
      </w:pPr>
      <w:r>
        <w:rPr>
          <w:b/>
          <w:bCs/>
        </w:rPr>
        <w:t xml:space="preserve">Publication Guidelines:</w:t>
      </w:r>
      <w:r>
        <w:t xml:space="preserve"> </w:t>
      </w:r>
      <w:r>
        <w:t xml:space="preserve">Style guides and checklists</w:t>
      </w:r>
    </w:p>
    <w:p>
      <w:pPr>
        <w:pStyle w:val="Compact"/>
        <w:numPr>
          <w:ilvl w:val="0"/>
          <w:numId w:val="1029"/>
        </w:numPr>
      </w:pPr>
      <w:r>
        <w:rPr>
          <w:b/>
          <w:bCs/>
        </w:rPr>
        <w:t xml:space="preserve">Media Monitoring Tools:</w:t>
      </w:r>
      <w:r>
        <w:t xml:space="preserve"> </w:t>
      </w:r>
      <w:r>
        <w:t xml:space="preserve">Tracking coverage and impact</w:t>
      </w:r>
    </w:p>
    <w:p>
      <w:pPr>
        <w:pStyle w:val="Compact"/>
        <w:numPr>
          <w:ilvl w:val="0"/>
          <w:numId w:val="1029"/>
        </w:numPr>
      </w:pPr>
      <w:r>
        <w:rPr>
          <w:b/>
          <w:bCs/>
        </w:rPr>
        <w:t xml:space="preserve">Evaluation Tools:</w:t>
      </w:r>
      <w:r>
        <w:t xml:space="preserve"> </w:t>
      </w:r>
      <w:r>
        <w:t xml:space="preserve">Feedback forms and impact assessment</w:t>
      </w:r>
    </w:p>
    <w:bookmarkEnd w:id="48"/>
    <w:bookmarkEnd w:id="49"/>
    <w:bookmarkStart w:id="53" w:name="evaluation-of-dissemination-impact"/>
    <w:p>
      <w:pPr>
        <w:pStyle w:val="Heading2"/>
      </w:pPr>
      <w:r>
        <w:t xml:space="preserve">9. Evaluation of Dissemination Impact</w:t>
      </w:r>
    </w:p>
    <w:bookmarkStart w:id="50" w:name="process-evaluation"/>
    <w:p>
      <w:pPr>
        <w:pStyle w:val="Heading3"/>
      </w:pPr>
      <w:r>
        <w:t xml:space="preserve">9.1 Process Evaluation</w:t>
      </w:r>
    </w:p>
    <w:p>
      <w:pPr>
        <w:pStyle w:val="Compact"/>
        <w:numPr>
          <w:ilvl w:val="0"/>
          <w:numId w:val="1030"/>
        </w:numPr>
      </w:pPr>
      <w:r>
        <w:rPr>
          <w:b/>
          <w:bCs/>
        </w:rPr>
        <w:t xml:space="preserve">Reach Metrics:</w:t>
      </w:r>
      <w:r>
        <w:t xml:space="preserve"> </w:t>
      </w:r>
      <w:r>
        <w:t xml:space="preserve">Number of people reached through different channels</w:t>
      </w:r>
    </w:p>
    <w:p>
      <w:pPr>
        <w:pStyle w:val="Compact"/>
        <w:numPr>
          <w:ilvl w:val="0"/>
          <w:numId w:val="1030"/>
        </w:numPr>
      </w:pPr>
      <w:r>
        <w:rPr>
          <w:b/>
          <w:bCs/>
        </w:rPr>
        <w:t xml:space="preserve">Engagement Metrics:</w:t>
      </w:r>
      <w:r>
        <w:t xml:space="preserve"> </w:t>
      </w:r>
      <w:r>
        <w:t xml:space="preserve">Website visits, social media interactions</w:t>
      </w:r>
    </w:p>
    <w:p>
      <w:pPr>
        <w:pStyle w:val="Compact"/>
        <w:numPr>
          <w:ilvl w:val="0"/>
          <w:numId w:val="1030"/>
        </w:numPr>
      </w:pPr>
      <w:r>
        <w:rPr>
          <w:b/>
          <w:bCs/>
        </w:rPr>
        <w:t xml:space="preserve">Media Coverage:</w:t>
      </w:r>
      <w:r>
        <w:t xml:space="preserve"> </w:t>
      </w:r>
      <w:r>
        <w:t xml:space="preserve">Number and quality of media mentions</w:t>
      </w:r>
    </w:p>
    <w:p>
      <w:pPr>
        <w:pStyle w:val="Compact"/>
        <w:numPr>
          <w:ilvl w:val="0"/>
          <w:numId w:val="1030"/>
        </w:numPr>
      </w:pPr>
      <w:r>
        <w:rPr>
          <w:b/>
          <w:bCs/>
        </w:rPr>
        <w:t xml:space="preserve">Stakeholder Feedback:</w:t>
      </w:r>
      <w:r>
        <w:t xml:space="preserve"> </w:t>
      </w:r>
      <w:r>
        <w:t xml:space="preserve">Surveys and interviews</w:t>
      </w:r>
    </w:p>
    <w:bookmarkEnd w:id="50"/>
    <w:bookmarkStart w:id="51" w:name="outcome-evaluation"/>
    <w:p>
      <w:pPr>
        <w:pStyle w:val="Heading3"/>
      </w:pPr>
      <w:r>
        <w:t xml:space="preserve">9.2 Outcome Evaluation</w:t>
      </w:r>
    </w:p>
    <w:p>
      <w:pPr>
        <w:pStyle w:val="Compact"/>
        <w:numPr>
          <w:ilvl w:val="0"/>
          <w:numId w:val="1031"/>
        </w:numPr>
      </w:pPr>
      <w:r>
        <w:rPr>
          <w:b/>
          <w:bCs/>
        </w:rPr>
        <w:t xml:space="preserve">Knowledge Change:</w:t>
      </w:r>
      <w:r>
        <w:t xml:space="preserve"> </w:t>
      </w:r>
      <w:r>
        <w:t xml:space="preserve">Pre/post assessments of awareness</w:t>
      </w:r>
    </w:p>
    <w:p>
      <w:pPr>
        <w:pStyle w:val="Compact"/>
        <w:numPr>
          <w:ilvl w:val="0"/>
          <w:numId w:val="1031"/>
        </w:numPr>
      </w:pPr>
      <w:r>
        <w:rPr>
          <w:b/>
          <w:bCs/>
        </w:rPr>
        <w:t xml:space="preserve">Policy Impact:</w:t>
      </w:r>
      <w:r>
        <w:t xml:space="preserve"> </w:t>
      </w:r>
      <w:r>
        <w:t xml:space="preserve">Changes in programs or policies</w:t>
      </w:r>
    </w:p>
    <w:p>
      <w:pPr>
        <w:pStyle w:val="Compact"/>
        <w:numPr>
          <w:ilvl w:val="0"/>
          <w:numId w:val="1031"/>
        </w:numPr>
      </w:pPr>
      <w:r>
        <w:rPr>
          <w:b/>
          <w:bCs/>
        </w:rPr>
        <w:t xml:space="preserve">Practice Change:</w:t>
      </w:r>
      <w:r>
        <w:t xml:space="preserve"> </w:t>
      </w:r>
      <w:r>
        <w:t xml:space="preserve">Adoption of new approaches by healthcare providers</w:t>
      </w:r>
    </w:p>
    <w:p>
      <w:pPr>
        <w:pStyle w:val="Compact"/>
        <w:numPr>
          <w:ilvl w:val="0"/>
          <w:numId w:val="1031"/>
        </w:numPr>
      </w:pPr>
      <w:r>
        <w:rPr>
          <w:b/>
          <w:bCs/>
        </w:rPr>
        <w:t xml:space="preserve">Research Impact:</w:t>
      </w:r>
      <w:r>
        <w:t xml:space="preserve"> </w:t>
      </w:r>
      <w:r>
        <w:t xml:space="preserve">Citations and follow-up studies</w:t>
      </w:r>
    </w:p>
    <w:bookmarkEnd w:id="51"/>
    <w:bookmarkStart w:id="52" w:name="impact-assessment-methods"/>
    <w:p>
      <w:pPr>
        <w:pStyle w:val="Heading3"/>
      </w:pPr>
      <w:r>
        <w:t xml:space="preserve">9.3 Impact Assessment Methods</w:t>
      </w:r>
    </w:p>
    <w:p>
      <w:pPr>
        <w:pStyle w:val="Compact"/>
        <w:numPr>
          <w:ilvl w:val="0"/>
          <w:numId w:val="1032"/>
        </w:numPr>
      </w:pPr>
      <w:r>
        <w:rPr>
          <w:b/>
          <w:bCs/>
        </w:rPr>
        <w:t xml:space="preserve">Web Analytics:</w:t>
      </w:r>
      <w:r>
        <w:t xml:space="preserve"> </w:t>
      </w:r>
      <w:r>
        <w:t xml:space="preserve">Tracking online engagement</w:t>
      </w:r>
    </w:p>
    <w:p>
      <w:pPr>
        <w:pStyle w:val="Compact"/>
        <w:numPr>
          <w:ilvl w:val="0"/>
          <w:numId w:val="1032"/>
        </w:numPr>
      </w:pPr>
      <w:r>
        <w:rPr>
          <w:b/>
          <w:bCs/>
        </w:rPr>
        <w:t xml:space="preserve">Citation Analysis:</w:t>
      </w:r>
      <w:r>
        <w:t xml:space="preserve"> </w:t>
      </w:r>
      <w:r>
        <w:t xml:space="preserve">Monitoring research impact</w:t>
      </w:r>
    </w:p>
    <w:p>
      <w:pPr>
        <w:pStyle w:val="Compact"/>
        <w:numPr>
          <w:ilvl w:val="0"/>
          <w:numId w:val="1032"/>
        </w:numPr>
      </w:pPr>
      <w:r>
        <w:rPr>
          <w:b/>
          <w:bCs/>
        </w:rPr>
        <w:t xml:space="preserve">Policy Tracking:</w:t>
      </w:r>
      <w:r>
        <w:t xml:space="preserve"> </w:t>
      </w:r>
      <w:r>
        <w:t xml:space="preserve">Documenting policy changes</w:t>
      </w:r>
    </w:p>
    <w:p>
      <w:pPr>
        <w:pStyle w:val="Compact"/>
        <w:numPr>
          <w:ilvl w:val="0"/>
          <w:numId w:val="1032"/>
        </w:numPr>
      </w:pPr>
      <w:r>
        <w:rPr>
          <w:b/>
          <w:bCs/>
        </w:rPr>
        <w:t xml:space="preserve">Community Surveys:</w:t>
      </w:r>
      <w:r>
        <w:t xml:space="preserve"> </w:t>
      </w:r>
      <w:r>
        <w:t xml:space="preserve">Assessing public awareness changes</w:t>
      </w:r>
    </w:p>
    <w:bookmarkEnd w:id="52"/>
    <w:bookmarkEnd w:id="53"/>
    <w:bookmarkStart w:id="56" w:name="risk-management"/>
    <w:p>
      <w:pPr>
        <w:pStyle w:val="Heading2"/>
      </w:pPr>
      <w:r>
        <w:t xml:space="preserve">10. Risk Management</w:t>
      </w:r>
    </w:p>
    <w:bookmarkStart w:id="54" w:name="potential-challenges"/>
    <w:p>
      <w:pPr>
        <w:pStyle w:val="Heading3"/>
      </w:pPr>
      <w:r>
        <w:t xml:space="preserve">10.1 Potential Challenges</w:t>
      </w:r>
    </w:p>
    <w:p>
      <w:pPr>
        <w:pStyle w:val="Compact"/>
        <w:numPr>
          <w:ilvl w:val="0"/>
          <w:numId w:val="1033"/>
        </w:numPr>
      </w:pPr>
      <w:r>
        <w:rPr>
          <w:b/>
          <w:bCs/>
        </w:rPr>
        <w:t xml:space="preserve">Data Sensitivity:</w:t>
      </w:r>
      <w:r>
        <w:t xml:space="preserve"> </w:t>
      </w:r>
      <w:r>
        <w:t xml:space="preserve">Protecting participant confidentiality</w:t>
      </w:r>
    </w:p>
    <w:p>
      <w:pPr>
        <w:pStyle w:val="Compact"/>
        <w:numPr>
          <w:ilvl w:val="0"/>
          <w:numId w:val="1033"/>
        </w:numPr>
      </w:pPr>
      <w:r>
        <w:rPr>
          <w:b/>
          <w:bCs/>
        </w:rPr>
        <w:t xml:space="preserve">Misinterpretation:</w:t>
      </w:r>
      <w:r>
        <w:t xml:space="preserve"> </w:t>
      </w:r>
      <w:r>
        <w:t xml:space="preserve">Ensuring accurate communication of findings</w:t>
      </w:r>
    </w:p>
    <w:p>
      <w:pPr>
        <w:pStyle w:val="Compact"/>
        <w:numPr>
          <w:ilvl w:val="0"/>
          <w:numId w:val="1033"/>
        </w:numPr>
      </w:pPr>
      <w:r>
        <w:rPr>
          <w:b/>
          <w:bCs/>
        </w:rPr>
        <w:t xml:space="preserve">Resource Constraints:</w:t>
      </w:r>
      <w:r>
        <w:t xml:space="preserve"> </w:t>
      </w:r>
      <w:r>
        <w:t xml:space="preserve">Managing dissemination within budget</w:t>
      </w:r>
    </w:p>
    <w:p>
      <w:pPr>
        <w:pStyle w:val="Compact"/>
        <w:numPr>
          <w:ilvl w:val="0"/>
          <w:numId w:val="1033"/>
        </w:numPr>
      </w:pPr>
      <w:r>
        <w:rPr>
          <w:b/>
          <w:bCs/>
        </w:rPr>
        <w:t xml:space="preserve">Timing Issues:</w:t>
      </w:r>
      <w:r>
        <w:t xml:space="preserve"> </w:t>
      </w:r>
      <w:r>
        <w:t xml:space="preserve">Coordinating with publication schedules</w:t>
      </w:r>
    </w:p>
    <w:bookmarkEnd w:id="54"/>
    <w:bookmarkStart w:id="55" w:name="mitigation-strategies"/>
    <w:p>
      <w:pPr>
        <w:pStyle w:val="Heading3"/>
      </w:pPr>
      <w:r>
        <w:t xml:space="preserve">10.2 Mitigation Strategies</w:t>
      </w:r>
    </w:p>
    <w:p>
      <w:pPr>
        <w:pStyle w:val="Compact"/>
        <w:numPr>
          <w:ilvl w:val="0"/>
          <w:numId w:val="1034"/>
        </w:numPr>
      </w:pPr>
      <w:r>
        <w:rPr>
          <w:b/>
          <w:bCs/>
        </w:rPr>
        <w:t xml:space="preserve">Clear Messaging:</w:t>
      </w:r>
      <w:r>
        <w:t xml:space="preserve"> </w:t>
      </w:r>
      <w:r>
        <w:t xml:space="preserve">Develop key messages with expert input</w:t>
      </w:r>
    </w:p>
    <w:p>
      <w:pPr>
        <w:pStyle w:val="Compact"/>
        <w:numPr>
          <w:ilvl w:val="0"/>
          <w:numId w:val="1034"/>
        </w:numPr>
      </w:pPr>
      <w:r>
        <w:rPr>
          <w:b/>
          <w:bCs/>
        </w:rPr>
        <w:t xml:space="preserve">Quality Control:</w:t>
      </w:r>
      <w:r>
        <w:t xml:space="preserve"> </w:t>
      </w:r>
      <w:r>
        <w:t xml:space="preserve">Review all materials before dissemination</w:t>
      </w:r>
    </w:p>
    <w:p>
      <w:pPr>
        <w:pStyle w:val="Compact"/>
        <w:numPr>
          <w:ilvl w:val="0"/>
          <w:numId w:val="1034"/>
        </w:numPr>
      </w:pPr>
      <w:r>
        <w:rPr>
          <w:b/>
          <w:bCs/>
        </w:rPr>
        <w:t xml:space="preserve">Contingency Planning:</w:t>
      </w:r>
      <w:r>
        <w:t xml:space="preserve"> </w:t>
      </w:r>
      <w:r>
        <w:t xml:space="preserve">Alternative dissemination methods</w:t>
      </w:r>
    </w:p>
    <w:p>
      <w:pPr>
        <w:pStyle w:val="Compact"/>
        <w:numPr>
          <w:ilvl w:val="0"/>
          <w:numId w:val="1034"/>
        </w:numPr>
      </w:pPr>
      <w:r>
        <w:rPr>
          <w:b/>
          <w:bCs/>
        </w:rPr>
        <w:t xml:space="preserve">Stakeholder Engagement:</w:t>
      </w:r>
      <w:r>
        <w:t xml:space="preserve"> </w:t>
      </w:r>
      <w:r>
        <w:t xml:space="preserve">Regular feedback and adaptation</w:t>
      </w:r>
    </w:p>
    <w:bookmarkEnd w:id="55"/>
    <w:bookmarkEnd w:id="56"/>
    <w:bookmarkStart w:id="59" w:name="sustainability-and-legacy"/>
    <w:p>
      <w:pPr>
        <w:pStyle w:val="Heading2"/>
      </w:pPr>
      <w:r>
        <w:t xml:space="preserve">11. Sustainability and Legacy</w:t>
      </w:r>
    </w:p>
    <w:bookmarkStart w:id="57" w:name="long-term-impact"/>
    <w:p>
      <w:pPr>
        <w:pStyle w:val="Heading3"/>
      </w:pPr>
      <w:r>
        <w:t xml:space="preserve">11.1 Long-term Impact</w:t>
      </w:r>
    </w:p>
    <w:p>
      <w:pPr>
        <w:pStyle w:val="Compact"/>
        <w:numPr>
          <w:ilvl w:val="0"/>
          <w:numId w:val="1035"/>
        </w:numPr>
      </w:pPr>
      <w:r>
        <w:rPr>
          <w:b/>
          <w:bCs/>
        </w:rPr>
        <w:t xml:space="preserve">Institutional Capacity:</w:t>
      </w:r>
      <w:r>
        <w:t xml:space="preserve"> </w:t>
      </w:r>
      <w:r>
        <w:t xml:space="preserve">Building local research capacity</w:t>
      </w:r>
    </w:p>
    <w:p>
      <w:pPr>
        <w:pStyle w:val="Compact"/>
        <w:numPr>
          <w:ilvl w:val="0"/>
          <w:numId w:val="1035"/>
        </w:numPr>
      </w:pPr>
      <w:r>
        <w:rPr>
          <w:b/>
          <w:bCs/>
        </w:rPr>
        <w:t xml:space="preserve">Policy Integration:</w:t>
      </w:r>
      <w:r>
        <w:t xml:space="preserve"> </w:t>
      </w:r>
      <w:r>
        <w:t xml:space="preserve">Embedding findings in health programs</w:t>
      </w:r>
    </w:p>
    <w:p>
      <w:pPr>
        <w:pStyle w:val="Compact"/>
        <w:numPr>
          <w:ilvl w:val="0"/>
          <w:numId w:val="1035"/>
        </w:numPr>
      </w:pPr>
      <w:r>
        <w:rPr>
          <w:b/>
          <w:bCs/>
        </w:rPr>
        <w:t xml:space="preserve">Community Empowerment:</w:t>
      </w:r>
      <w:r>
        <w:t xml:space="preserve"> </w:t>
      </w:r>
      <w:r>
        <w:t xml:space="preserve">Sustained allergy awareness</w:t>
      </w:r>
    </w:p>
    <w:p>
      <w:pPr>
        <w:pStyle w:val="Compact"/>
        <w:numPr>
          <w:ilvl w:val="0"/>
          <w:numId w:val="1035"/>
        </w:numPr>
      </w:pPr>
      <w:r>
        <w:rPr>
          <w:b/>
          <w:bCs/>
        </w:rPr>
        <w:t xml:space="preserve">Research Network:</w:t>
      </w:r>
      <w:r>
        <w:t xml:space="preserve"> </w:t>
      </w:r>
      <w:r>
        <w:t xml:space="preserve">Establishing collaborative relationships</w:t>
      </w:r>
    </w:p>
    <w:bookmarkEnd w:id="57"/>
    <w:bookmarkStart w:id="58" w:name="knowledge-management"/>
    <w:p>
      <w:pPr>
        <w:pStyle w:val="Heading3"/>
      </w:pPr>
      <w:r>
        <w:t xml:space="preserve">11.2 Knowledge Management</w:t>
      </w:r>
    </w:p>
    <w:p>
      <w:pPr>
        <w:pStyle w:val="Compact"/>
        <w:numPr>
          <w:ilvl w:val="0"/>
          <w:numId w:val="1036"/>
        </w:numPr>
      </w:pPr>
      <w:r>
        <w:rPr>
          <w:b/>
          <w:bCs/>
        </w:rPr>
        <w:t xml:space="preserve">Repository Creation:</w:t>
      </w:r>
      <w:r>
        <w:t xml:space="preserve"> </w:t>
      </w:r>
      <w:r>
        <w:t xml:space="preserve">Central location for all study outputs</w:t>
      </w:r>
    </w:p>
    <w:p>
      <w:pPr>
        <w:pStyle w:val="Compact"/>
        <w:numPr>
          <w:ilvl w:val="0"/>
          <w:numId w:val="1036"/>
        </w:numPr>
      </w:pPr>
      <w:r>
        <w:rPr>
          <w:b/>
          <w:bCs/>
        </w:rPr>
        <w:t xml:space="preserve">Regular Updates:</w:t>
      </w:r>
      <w:r>
        <w:t xml:space="preserve"> </w:t>
      </w:r>
      <w:r>
        <w:t xml:space="preserve">Periodic review and updating of materials</w:t>
      </w:r>
    </w:p>
    <w:p>
      <w:pPr>
        <w:pStyle w:val="Compact"/>
        <w:numPr>
          <w:ilvl w:val="0"/>
          <w:numId w:val="1036"/>
        </w:numPr>
      </w:pPr>
      <w:r>
        <w:rPr>
          <w:b/>
          <w:bCs/>
        </w:rPr>
        <w:t xml:space="preserve">Capacity Building:</w:t>
      </w:r>
      <w:r>
        <w:t xml:space="preserve"> </w:t>
      </w:r>
      <w:r>
        <w:t xml:space="preserve">Training local stakeholders in dissemination</w:t>
      </w:r>
    </w:p>
    <w:p>
      <w:pPr>
        <w:pStyle w:val="Compact"/>
        <w:numPr>
          <w:ilvl w:val="0"/>
          <w:numId w:val="1036"/>
        </w:numPr>
      </w:pPr>
      <w:r>
        <w:rPr>
          <w:b/>
          <w:bCs/>
        </w:rPr>
        <w:t xml:space="preserve">Succession Planning:</w:t>
      </w:r>
      <w:r>
        <w:t xml:space="preserve"> </w:t>
      </w:r>
      <w:r>
        <w:t xml:space="preserve">Ensuring continuity beyond study period</w:t>
      </w:r>
    </w:p>
    <w:bookmarkEnd w:id="58"/>
    <w:bookmarkEnd w:id="59"/>
    <w:bookmarkStart w:id="62" w:name="ethical-considerations"/>
    <w:p>
      <w:pPr>
        <w:pStyle w:val="Heading2"/>
      </w:pPr>
      <w:r>
        <w:t xml:space="preserve">12. Ethical Considerations</w:t>
      </w:r>
    </w:p>
    <w:bookmarkStart w:id="60" w:name="responsible-communication"/>
    <w:p>
      <w:pPr>
        <w:pStyle w:val="Heading3"/>
      </w:pPr>
      <w:r>
        <w:t xml:space="preserve">12.1 Responsible Communication</w:t>
      </w:r>
    </w:p>
    <w:p>
      <w:pPr>
        <w:pStyle w:val="Compact"/>
        <w:numPr>
          <w:ilvl w:val="0"/>
          <w:numId w:val="1037"/>
        </w:numPr>
      </w:pPr>
      <w:r>
        <w:rPr>
          <w:b/>
          <w:bCs/>
        </w:rPr>
        <w:t xml:space="preserve">Accuracy:</w:t>
      </w:r>
      <w:r>
        <w:t xml:space="preserve"> </w:t>
      </w:r>
      <w:r>
        <w:t xml:space="preserve">Ensuring all communications are evidence-based</w:t>
      </w:r>
    </w:p>
    <w:p>
      <w:pPr>
        <w:pStyle w:val="Compact"/>
        <w:numPr>
          <w:ilvl w:val="0"/>
          <w:numId w:val="1037"/>
        </w:numPr>
      </w:pPr>
      <w:r>
        <w:rPr>
          <w:b/>
          <w:bCs/>
        </w:rPr>
        <w:t xml:space="preserve">Balance:</w:t>
      </w:r>
      <w:r>
        <w:t xml:space="preserve"> </w:t>
      </w:r>
      <w:r>
        <w:t xml:space="preserve">Presenting findings without overstating implications</w:t>
      </w:r>
    </w:p>
    <w:p>
      <w:pPr>
        <w:pStyle w:val="Compact"/>
        <w:numPr>
          <w:ilvl w:val="0"/>
          <w:numId w:val="1037"/>
        </w:numPr>
      </w:pPr>
      <w:r>
        <w:rPr>
          <w:b/>
          <w:bCs/>
        </w:rPr>
        <w:t xml:space="preserve">Transparency:</w:t>
      </w:r>
      <w:r>
        <w:t xml:space="preserve"> </w:t>
      </w:r>
      <w:r>
        <w:t xml:space="preserve">Disclosing limitations and uncertainties</w:t>
      </w:r>
    </w:p>
    <w:p>
      <w:pPr>
        <w:pStyle w:val="Compact"/>
        <w:numPr>
          <w:ilvl w:val="0"/>
          <w:numId w:val="1037"/>
        </w:numPr>
      </w:pPr>
      <w:r>
        <w:rPr>
          <w:b/>
          <w:bCs/>
        </w:rPr>
        <w:t xml:space="preserve">Cultural Sensitivity:</w:t>
      </w:r>
      <w:r>
        <w:t xml:space="preserve"> </w:t>
      </w:r>
      <w:r>
        <w:t xml:space="preserve">Respecting local beliefs and practices</w:t>
      </w:r>
    </w:p>
    <w:bookmarkEnd w:id="60"/>
    <w:bookmarkStart w:id="61" w:name="participant-protection"/>
    <w:p>
      <w:pPr>
        <w:pStyle w:val="Heading3"/>
      </w:pPr>
      <w:r>
        <w:t xml:space="preserve">12.2 Participant Protection</w:t>
      </w:r>
    </w:p>
    <w:p>
      <w:pPr>
        <w:pStyle w:val="Compact"/>
        <w:numPr>
          <w:ilvl w:val="0"/>
          <w:numId w:val="1038"/>
        </w:numPr>
      </w:pPr>
      <w:r>
        <w:rPr>
          <w:b/>
          <w:bCs/>
        </w:rPr>
        <w:t xml:space="preserve">Privacy:</w:t>
      </w:r>
      <w:r>
        <w:t xml:space="preserve"> </w:t>
      </w:r>
      <w:r>
        <w:t xml:space="preserve">Protecting participant identities in all communications</w:t>
      </w:r>
    </w:p>
    <w:p>
      <w:pPr>
        <w:pStyle w:val="Compact"/>
        <w:numPr>
          <w:ilvl w:val="0"/>
          <w:numId w:val="1038"/>
        </w:numPr>
      </w:pPr>
      <w:r>
        <w:rPr>
          <w:b/>
          <w:bCs/>
        </w:rPr>
        <w:t xml:space="preserve">Consent:</w:t>
      </w:r>
      <w:r>
        <w:t xml:space="preserve"> </w:t>
      </w:r>
      <w:r>
        <w:t xml:space="preserve">Obtaining approval for any participant data use</w:t>
      </w:r>
    </w:p>
    <w:p>
      <w:pPr>
        <w:pStyle w:val="Compact"/>
        <w:numPr>
          <w:ilvl w:val="0"/>
          <w:numId w:val="1038"/>
        </w:numPr>
      </w:pPr>
      <w:r>
        <w:rPr>
          <w:b/>
          <w:bCs/>
        </w:rPr>
        <w:t xml:space="preserve">Feedback:</w:t>
      </w:r>
      <w:r>
        <w:t xml:space="preserve"> </w:t>
      </w:r>
      <w:r>
        <w:t xml:space="preserve">Providing study results to participants</w:t>
      </w:r>
    </w:p>
    <w:p>
      <w:pPr>
        <w:pStyle w:val="Compact"/>
        <w:numPr>
          <w:ilvl w:val="0"/>
          <w:numId w:val="1038"/>
        </w:numPr>
      </w:pPr>
      <w:r>
        <w:rPr>
          <w:b/>
          <w:bCs/>
        </w:rPr>
        <w:t xml:space="preserve">Support:</w:t>
      </w:r>
      <w:r>
        <w:t xml:space="preserve"> </w:t>
      </w:r>
      <w:r>
        <w:t xml:space="preserve">Offering counseling if findings cause distress</w:t>
      </w:r>
    </w:p>
    <w:bookmarkEnd w:id="61"/>
    <w:bookmarkEnd w:id="62"/>
    <w:bookmarkStart w:id="65" w:name="monitoring-and-adaptation"/>
    <w:p>
      <w:pPr>
        <w:pStyle w:val="Heading2"/>
      </w:pPr>
      <w:r>
        <w:t xml:space="preserve">13. Monitoring and Adaptation</w:t>
      </w:r>
    </w:p>
    <w:bookmarkStart w:id="63" w:name="regular-reviews"/>
    <w:p>
      <w:pPr>
        <w:pStyle w:val="Heading3"/>
      </w:pPr>
      <w:r>
        <w:t xml:space="preserve">13.1 Regular Reviews</w:t>
      </w:r>
    </w:p>
    <w:p>
      <w:pPr>
        <w:pStyle w:val="Compact"/>
        <w:numPr>
          <w:ilvl w:val="0"/>
          <w:numId w:val="1039"/>
        </w:numPr>
      </w:pPr>
      <w:r>
        <w:rPr>
          <w:b/>
          <w:bCs/>
        </w:rPr>
        <w:t xml:space="preserve">Monthly Monitoring:</w:t>
      </w:r>
      <w:r>
        <w:t xml:space="preserve"> </w:t>
      </w:r>
      <w:r>
        <w:t xml:space="preserve">Tracking dissemination activities</w:t>
      </w:r>
    </w:p>
    <w:p>
      <w:pPr>
        <w:pStyle w:val="Compact"/>
        <w:numPr>
          <w:ilvl w:val="0"/>
          <w:numId w:val="1039"/>
        </w:numPr>
      </w:pPr>
      <w:r>
        <w:rPr>
          <w:b/>
          <w:bCs/>
        </w:rPr>
        <w:t xml:space="preserve">Quarterly Reviews:</w:t>
      </w:r>
      <w:r>
        <w:t xml:space="preserve"> </w:t>
      </w:r>
      <w:r>
        <w:t xml:space="preserve">Assessing progress and impact</w:t>
      </w:r>
    </w:p>
    <w:p>
      <w:pPr>
        <w:pStyle w:val="Compact"/>
        <w:numPr>
          <w:ilvl w:val="0"/>
          <w:numId w:val="1039"/>
        </w:numPr>
      </w:pPr>
      <w:r>
        <w:rPr>
          <w:b/>
          <w:bCs/>
        </w:rPr>
        <w:t xml:space="preserve">Annual Evaluation:</w:t>
      </w:r>
      <w:r>
        <w:t xml:space="preserve"> </w:t>
      </w:r>
      <w:r>
        <w:t xml:space="preserve">Comprehensive impact assessment</w:t>
      </w:r>
    </w:p>
    <w:p>
      <w:pPr>
        <w:pStyle w:val="Compact"/>
        <w:numPr>
          <w:ilvl w:val="0"/>
          <w:numId w:val="1039"/>
        </w:numPr>
      </w:pPr>
      <w:r>
        <w:rPr>
          <w:b/>
          <w:bCs/>
        </w:rPr>
        <w:t xml:space="preserve">Adaptive Planning:</w:t>
      </w:r>
      <w:r>
        <w:t xml:space="preserve"> </w:t>
      </w:r>
      <w:r>
        <w:t xml:space="preserve">Modifying strategies based on feedback</w:t>
      </w:r>
    </w:p>
    <w:bookmarkEnd w:id="63"/>
    <w:bookmarkStart w:id="64" w:name="feedback-mechanisms"/>
    <w:p>
      <w:pPr>
        <w:pStyle w:val="Heading3"/>
      </w:pPr>
      <w:r>
        <w:t xml:space="preserve">13.2 Feedback Mechanisms</w:t>
      </w:r>
    </w:p>
    <w:p>
      <w:pPr>
        <w:pStyle w:val="Compact"/>
        <w:numPr>
          <w:ilvl w:val="0"/>
          <w:numId w:val="1040"/>
        </w:numPr>
      </w:pPr>
      <w:r>
        <w:rPr>
          <w:b/>
          <w:bCs/>
        </w:rPr>
        <w:t xml:space="preserve">Stakeholder Surveys:</w:t>
      </w:r>
      <w:r>
        <w:t xml:space="preserve"> </w:t>
      </w:r>
      <w:r>
        <w:t xml:space="preserve">Regular feedback from target audiences</w:t>
      </w:r>
    </w:p>
    <w:p>
      <w:pPr>
        <w:pStyle w:val="Compact"/>
        <w:numPr>
          <w:ilvl w:val="0"/>
          <w:numId w:val="1040"/>
        </w:numPr>
      </w:pPr>
      <w:r>
        <w:rPr>
          <w:b/>
          <w:bCs/>
        </w:rPr>
        <w:t xml:space="preserve">Performance Metrics:</w:t>
      </w:r>
      <w:r>
        <w:t xml:space="preserve"> </w:t>
      </w:r>
      <w:r>
        <w:t xml:space="preserve">Tracking against dissemination objectives</w:t>
      </w:r>
    </w:p>
    <w:p>
      <w:pPr>
        <w:pStyle w:val="Compact"/>
        <w:numPr>
          <w:ilvl w:val="0"/>
          <w:numId w:val="1040"/>
        </w:numPr>
      </w:pPr>
      <w:r>
        <w:rPr>
          <w:b/>
          <w:bCs/>
        </w:rPr>
        <w:t xml:space="preserve">Lessons Learned:</w:t>
      </w:r>
      <w:r>
        <w:t xml:space="preserve"> </w:t>
      </w:r>
      <w:r>
        <w:t xml:space="preserve">Documenting successes and challenges</w:t>
      </w:r>
    </w:p>
    <w:p>
      <w:pPr>
        <w:pStyle w:val="Compact"/>
        <w:numPr>
          <w:ilvl w:val="0"/>
          <w:numId w:val="1040"/>
        </w:numPr>
      </w:pPr>
      <w:r>
        <w:rPr>
          <w:b/>
          <w:bCs/>
        </w:rPr>
        <w:t xml:space="preserve">Continuous Improvement:</w:t>
      </w:r>
      <w:r>
        <w:t xml:space="preserve"> </w:t>
      </w:r>
      <w:r>
        <w:t xml:space="preserve">Incorporating feedback into future activities</w:t>
      </w:r>
    </w:p>
    <w:bookmarkEnd w:id="64"/>
    <w:bookmarkEnd w:id="65"/>
    <w:bookmarkStart w:id="69" w:name="success-indicators"/>
    <w:p>
      <w:pPr>
        <w:pStyle w:val="Heading2"/>
      </w:pPr>
      <w:r>
        <w:t xml:space="preserve">14. Success Indicators</w:t>
      </w:r>
    </w:p>
    <w:bookmarkStart w:id="66" w:name="quantitative-indicators"/>
    <w:p>
      <w:pPr>
        <w:pStyle w:val="Heading3"/>
      </w:pPr>
      <w:r>
        <w:t xml:space="preserve">14.1 Quantitative Indicators</w:t>
      </w:r>
    </w:p>
    <w:p>
      <w:pPr>
        <w:pStyle w:val="Compact"/>
        <w:numPr>
          <w:ilvl w:val="0"/>
          <w:numId w:val="1041"/>
        </w:numPr>
      </w:pPr>
      <w:r>
        <w:t xml:space="preserve">Number of publications and citations</w:t>
      </w:r>
    </w:p>
    <w:p>
      <w:pPr>
        <w:pStyle w:val="Compact"/>
        <w:numPr>
          <w:ilvl w:val="0"/>
          <w:numId w:val="1041"/>
        </w:numPr>
      </w:pPr>
      <w:r>
        <w:t xml:space="preserve">Conference presentations and attendance</w:t>
      </w:r>
    </w:p>
    <w:p>
      <w:pPr>
        <w:pStyle w:val="Compact"/>
        <w:numPr>
          <w:ilvl w:val="0"/>
          <w:numId w:val="1041"/>
        </w:numPr>
      </w:pPr>
      <w:r>
        <w:t xml:space="preserve">Media coverage and reach</w:t>
      </w:r>
    </w:p>
    <w:p>
      <w:pPr>
        <w:pStyle w:val="Compact"/>
        <w:numPr>
          <w:ilvl w:val="0"/>
          <w:numId w:val="1041"/>
        </w:numPr>
      </w:pPr>
      <w:r>
        <w:t xml:space="preserve">Website visits and downloads</w:t>
      </w:r>
    </w:p>
    <w:p>
      <w:pPr>
        <w:pStyle w:val="Compact"/>
        <w:numPr>
          <w:ilvl w:val="0"/>
          <w:numId w:val="1041"/>
        </w:numPr>
      </w:pPr>
      <w:r>
        <w:t xml:space="preserve">Policy documents citing study findings</w:t>
      </w:r>
    </w:p>
    <w:bookmarkEnd w:id="66"/>
    <w:bookmarkStart w:id="67" w:name="qualitative-indicators"/>
    <w:p>
      <w:pPr>
        <w:pStyle w:val="Heading3"/>
      </w:pPr>
      <w:r>
        <w:t xml:space="preserve">14.2 Qualitative Indicators</w:t>
      </w:r>
    </w:p>
    <w:p>
      <w:pPr>
        <w:pStyle w:val="Compact"/>
        <w:numPr>
          <w:ilvl w:val="0"/>
          <w:numId w:val="1042"/>
        </w:numPr>
      </w:pPr>
      <w:r>
        <w:t xml:space="preserve">Stakeholder satisfaction with communications</w:t>
      </w:r>
    </w:p>
    <w:p>
      <w:pPr>
        <w:pStyle w:val="Compact"/>
        <w:numPr>
          <w:ilvl w:val="0"/>
          <w:numId w:val="1042"/>
        </w:numPr>
      </w:pPr>
      <w:r>
        <w:t xml:space="preserve">Changes in clinical practice</w:t>
      </w:r>
    </w:p>
    <w:p>
      <w:pPr>
        <w:pStyle w:val="Compact"/>
        <w:numPr>
          <w:ilvl w:val="0"/>
          <w:numId w:val="1042"/>
        </w:numPr>
      </w:pPr>
      <w:r>
        <w:t xml:space="preserve">Community awareness improvements</w:t>
      </w:r>
    </w:p>
    <w:p>
      <w:pPr>
        <w:pStyle w:val="Compact"/>
        <w:numPr>
          <w:ilvl w:val="0"/>
          <w:numId w:val="1042"/>
        </w:numPr>
      </w:pPr>
      <w:r>
        <w:t xml:space="preserve">Policy maker engagement</w:t>
      </w:r>
    </w:p>
    <w:p>
      <w:pPr>
        <w:pStyle w:val="Compact"/>
        <w:numPr>
          <w:ilvl w:val="0"/>
          <w:numId w:val="1042"/>
        </w:numPr>
      </w:pPr>
      <w:r>
        <w:t xml:space="preserve">Research collaboration opportunities</w:t>
      </w:r>
    </w:p>
    <w:bookmarkEnd w:id="67"/>
    <w:bookmarkStart w:id="68" w:name="long-term-impact-indicators"/>
    <w:p>
      <w:pPr>
        <w:pStyle w:val="Heading3"/>
      </w:pPr>
      <w:r>
        <w:t xml:space="preserve">14.3 Long-term Impact Indicators</w:t>
      </w:r>
    </w:p>
    <w:p>
      <w:pPr>
        <w:pStyle w:val="Compact"/>
        <w:numPr>
          <w:ilvl w:val="0"/>
          <w:numId w:val="1043"/>
        </w:numPr>
      </w:pPr>
      <w:r>
        <w:t xml:space="preserve">Integration of findings into health programs</w:t>
      </w:r>
    </w:p>
    <w:p>
      <w:pPr>
        <w:pStyle w:val="Compact"/>
        <w:numPr>
          <w:ilvl w:val="0"/>
          <w:numId w:val="1043"/>
        </w:numPr>
      </w:pPr>
      <w:r>
        <w:t xml:space="preserve">Follow-up research studies</w:t>
      </w:r>
    </w:p>
    <w:p>
      <w:pPr>
        <w:pStyle w:val="Compact"/>
        <w:numPr>
          <w:ilvl w:val="0"/>
          <w:numId w:val="1043"/>
        </w:numPr>
      </w:pPr>
      <w:r>
        <w:t xml:space="preserve">Sustained community awareness</w:t>
      </w:r>
    </w:p>
    <w:p>
      <w:pPr>
        <w:pStyle w:val="Compact"/>
        <w:numPr>
          <w:ilvl w:val="0"/>
          <w:numId w:val="1043"/>
        </w:numPr>
      </w:pPr>
      <w:r>
        <w:t xml:space="preserve">Institutional capacity development</w:t>
      </w:r>
    </w:p>
    <w:p>
      <w:r>
        <w:pict>
          <v:rect style="width:0;height:1.5pt" o:hralign="center" o:hrstd="t" o:hr="t"/>
        </w:pict>
      </w:r>
    </w:p>
    <w:bookmarkEnd w:id="68"/>
    <w:bookmarkEnd w:id="69"/>
    <w:bookmarkStart w:id="75" w:name="appendices"/>
    <w:p>
      <w:pPr>
        <w:pStyle w:val="Heading2"/>
      </w:pPr>
      <w:r>
        <w:t xml:space="preserve">Appendices</w:t>
      </w:r>
    </w:p>
    <w:bookmarkStart w:id="70" w:name="appendix-a-key-messages-document"/>
    <w:p>
      <w:pPr>
        <w:pStyle w:val="Heading3"/>
      </w:pPr>
      <w:r>
        <w:t xml:space="preserve">Appendix A: Key Messages Document</w:t>
      </w:r>
    </w:p>
    <w:bookmarkEnd w:id="70"/>
    <w:bookmarkStart w:id="71" w:name="appendix-b-media-kit-template"/>
    <w:p>
      <w:pPr>
        <w:pStyle w:val="Heading3"/>
      </w:pPr>
      <w:r>
        <w:t xml:space="preserve">Appendix B: Media Kit Template</w:t>
      </w:r>
    </w:p>
    <w:bookmarkEnd w:id="71"/>
    <w:bookmarkStart w:id="72" w:name="appendix-c-policy-brief-template"/>
    <w:p>
      <w:pPr>
        <w:pStyle w:val="Heading3"/>
      </w:pPr>
      <w:r>
        <w:t xml:space="preserve">Appendix C: Policy Brief Template</w:t>
      </w:r>
    </w:p>
    <w:bookmarkEnd w:id="72"/>
    <w:bookmarkStart w:id="73" w:name="appendix-d-evaluation-tools"/>
    <w:p>
      <w:pPr>
        <w:pStyle w:val="Heading3"/>
      </w:pPr>
      <w:r>
        <w:t xml:space="preserve">Appendix D: Evaluation Tools</w:t>
      </w:r>
    </w:p>
    <w:bookmarkEnd w:id="73"/>
    <w:bookmarkStart w:id="74" w:name="appendix-e-contact-lists"/>
    <w:p>
      <w:pPr>
        <w:pStyle w:val="Heading3"/>
      </w:pPr>
      <w:r>
        <w:t xml:space="preserve">Appendix E: Contact Lists</w:t>
      </w:r>
    </w:p>
    <w:p>
      <w:r>
        <w:pict>
          <v:rect style="width:0;height:1.5pt" o:hralign="center" o:hrstd="t" o:hr="t"/>
        </w:pict>
      </w:r>
    </w:p>
    <w:p>
      <w:pPr>
        <w:pStyle w:val="FirstParagraph"/>
      </w:pPr>
      <w:r>
        <w:rPr>
          <w:b/>
          <w:bCs/>
        </w:rPr>
        <w:t xml:space="preserve">Dissemination Plan Approval:</w:t>
      </w:r>
    </w:p>
    <w:p>
      <w:pPr>
        <w:pStyle w:val="BodyText"/>
      </w:pPr>
      <w:r>
        <w:rPr>
          <w:b/>
          <w:bCs/>
        </w:rPr>
        <w:t xml:space="preserve">Prepared by:</w:t>
      </w:r>
      <w:r>
        <w:t xml:space="preserve"> </w:t>
      </w:r>
      <w:r>
        <w:t xml:space="preserve">__________ (Communications Lead)</w:t>
      </w:r>
    </w:p>
    <w:p>
      <w:pPr>
        <w:pStyle w:val="BodyText"/>
      </w:pPr>
      <w:r>
        <w:rPr>
          <w:b/>
          <w:bCs/>
        </w:rPr>
        <w:t xml:space="preserve">Reviewed by:</w:t>
      </w:r>
      <w:r>
        <w:t xml:space="preserve"> </w:t>
      </w:r>
      <w:r>
        <w:t xml:space="preserve">__________ (Principal Investigator)</w:t>
      </w:r>
    </w:p>
    <w:p>
      <w:pPr>
        <w:pStyle w:val="BodyText"/>
      </w:pPr>
      <w:r>
        <w:rPr>
          <w:b/>
          <w:bCs/>
        </w:rPr>
        <w:t xml:space="preserve">Approved by:</w:t>
      </w:r>
      <w:r>
        <w:t xml:space="preserve"> </w:t>
      </w:r>
      <w:r>
        <w:t xml:space="preserve">__________ (Institution Head)</w:t>
      </w:r>
    </w:p>
    <w:p>
      <w:pPr>
        <w:pStyle w:val="BodyText"/>
      </w:pPr>
      <w:r>
        <w:rPr>
          <w:b/>
          <w:bCs/>
        </w:rPr>
        <w:t xml:space="preserve">Date:</w:t>
      </w:r>
      <w:r>
        <w:t xml:space="preserve"> </w:t>
      </w:r>
      <w:r>
        <w:t xml:space="preserve">__________</w:t>
      </w:r>
    </w:p>
    <w:p>
      <w:pPr>
        <w:pStyle w:val="BodyText"/>
      </w:pPr>
      <w:r>
        <w:rPr>
          <w:b/>
          <w:bCs/>
        </w:rPr>
        <w:t xml:space="preserve">Review Date:</w:t>
      </w:r>
      <w:r>
        <w:t xml:space="preserve"> </w:t>
      </w:r>
      <w:r>
        <w:t xml:space="preserve">__________ (Annual)</w:t>
      </w:r>
    </w:p>
    <w:bookmarkEnd w:id="74"/>
    <w:bookmarkEnd w:id="75"/>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2025-11-03T09:37:05Z</dcterms:created>
  <dcterms:modified xsi:type="dcterms:W3CDTF">2025-11-03T09:37:05Z</dcterms:modified>
</cp:coreProperties>
</file>

<file path=docProps/custom.xml><?xml version="1.0" encoding="utf-8"?>
<Properties xmlns="http://schemas.openxmlformats.org/officeDocument/2006/custom-properties" xmlns:vt="http://schemas.openxmlformats.org/officeDocument/2006/docPropsVTypes"/>
</file>