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ethics-committee-submission-template"/>
    <w:p>
      <w:pPr>
        <w:pStyle w:val="Heading1"/>
      </w:pPr>
      <w:r>
        <w:t xml:space="preserve">Ethics Committee Submission Template</w:t>
      </w:r>
    </w:p>
    <w:p>
      <w:pPr>
        <w:pStyle w:val="FirstParagraph"/>
      </w:pPr>
      <w:r>
        <w:rPr>
          <w:b/>
          <w:bCs/>
        </w:rPr>
        <w:t xml:space="preserve">Institution:</w:t>
      </w:r>
      <w:r>
        <w:t xml:space="preserve"> </w:t>
      </w:r>
      <w:r>
        <w:t xml:space="preserve">Shridevi Institute of Medical Sciences &amp; Research Hospital (SIMS&amp;RH)</w:t>
      </w:r>
    </w:p>
    <w:p>
      <w:pPr>
        <w:pStyle w:val="BodyText"/>
      </w:pPr>
      <w:r>
        <w:rPr>
          <w:b/>
          <w:bCs/>
        </w:rPr>
        <w:t xml:space="preserve">Ethics Committee:</w:t>
      </w:r>
      <w:r>
        <w:t xml:space="preserve"> </w:t>
      </w:r>
      <w:r>
        <w:t xml:space="preserve">Institutional Ethics Committee (IEC)</w:t>
      </w:r>
    </w:p>
    <w:p>
      <w:pPr>
        <w:pStyle w:val="BodyText"/>
      </w:pPr>
      <w:r>
        <w:rPr>
          <w:b/>
          <w:bCs/>
        </w:rPr>
        <w:t xml:space="preserve">Date of Submission:</w:t>
      </w:r>
      <w:r>
        <w:t xml:space="preserve"> </w:t>
      </w:r>
      <w:r>
        <w:t xml:space="preserve">__________</w:t>
      </w:r>
    </w:p>
    <w:p>
      <w:r>
        <w:pict>
          <v:rect style="width:0;height:1.5pt" o:hralign="center" o:hrstd="t" o:hr="t"/>
        </w:pict>
      </w:r>
    </w:p>
    <w:bookmarkStart w:id="9" w:name="title-of-the-study"/>
    <w:p>
      <w:pPr>
        <w:pStyle w:val="Heading2"/>
      </w:pPr>
      <w:r>
        <w:t xml:space="preserve">1. Title of the Study</w:t>
      </w:r>
    </w:p>
    <w:p>
      <w:pPr>
        <w:pStyle w:val="FirstParagraph"/>
      </w:pPr>
      <w:r>
        <w:t xml:space="preserve">Epidemiological Study on Prevalence, Distribution, Phenotypes, Determinants, Temporal and Spatial Associations of Allergy with Emphasis on Microbiome, Microplastics, Quality of Life, Treatment Perception, and Comorbidities in SIMS&amp;RH Tumkur, Karnataka</w:t>
      </w:r>
    </w:p>
    <w:bookmarkEnd w:id="9"/>
    <w:bookmarkStart w:id="10" w:name="principal-investigator-details"/>
    <w:p>
      <w:pPr>
        <w:pStyle w:val="Heading2"/>
      </w:pPr>
      <w:r>
        <w:t xml:space="preserve">2. Principal Investigator Details</w:t>
      </w:r>
    </w:p>
    <w:p>
      <w:pPr>
        <w:pStyle w:val="Compact"/>
        <w:numPr>
          <w:ilvl w:val="0"/>
          <w:numId w:val="1001"/>
        </w:numPr>
      </w:pPr>
      <w:r>
        <w:t xml:space="preserve">Name: __________</w:t>
      </w:r>
    </w:p>
    <w:p>
      <w:pPr>
        <w:pStyle w:val="Compact"/>
        <w:numPr>
          <w:ilvl w:val="0"/>
          <w:numId w:val="1001"/>
        </w:numPr>
      </w:pPr>
      <w:r>
        <w:t xml:space="preserve">Designation: __________</w:t>
      </w:r>
    </w:p>
    <w:p>
      <w:pPr>
        <w:pStyle w:val="Compact"/>
        <w:numPr>
          <w:ilvl w:val="0"/>
          <w:numId w:val="1001"/>
        </w:numPr>
      </w:pPr>
      <w:r>
        <w:t xml:space="preserve">Department: __________</w:t>
      </w:r>
    </w:p>
    <w:p>
      <w:pPr>
        <w:pStyle w:val="Compact"/>
        <w:numPr>
          <w:ilvl w:val="0"/>
          <w:numId w:val="1001"/>
        </w:numPr>
      </w:pPr>
      <w:r>
        <w:t xml:space="preserve">Contact: Phone: __________ Email: __________</w:t>
      </w:r>
    </w:p>
    <w:p>
      <w:pPr>
        <w:pStyle w:val="Compact"/>
        <w:numPr>
          <w:ilvl w:val="0"/>
          <w:numId w:val="1001"/>
        </w:numPr>
      </w:pPr>
      <w:r>
        <w:t xml:space="preserve">Qualifications: __________</w:t>
      </w:r>
    </w:p>
    <w:bookmarkEnd w:id="10"/>
    <w:bookmarkStart w:id="11" w:name="co-investigator-details"/>
    <w:p>
      <w:pPr>
        <w:pStyle w:val="Heading2"/>
      </w:pPr>
      <w:r>
        <w:t xml:space="preserve">3. Co-Investigator Details</w:t>
      </w:r>
    </w:p>
    <w:p>
      <w:pPr>
        <w:pStyle w:val="FirstParagraph"/>
      </w:pPr>
      <w:r>
        <w:t xml:space="preserve">[List all co-investigators with their names, designations, departments, and contact details]</w:t>
      </w:r>
    </w:p>
    <w:bookmarkEnd w:id="11"/>
    <w:bookmarkStart w:id="12" w:name="study-sites"/>
    <w:p>
      <w:pPr>
        <w:pStyle w:val="Heading2"/>
      </w:pPr>
      <w:r>
        <w:t xml:space="preserve">4. Study Site(s)</w:t>
      </w:r>
    </w:p>
    <w:p>
      <w:pPr>
        <w:pStyle w:val="Compact"/>
        <w:numPr>
          <w:ilvl w:val="0"/>
          <w:numId w:val="1002"/>
        </w:numPr>
      </w:pPr>
      <w:r>
        <w:t xml:space="preserve">Primary: SIMS&amp;RH, Tumkur, Karnataka</w:t>
      </w:r>
    </w:p>
    <w:p>
      <w:pPr>
        <w:pStyle w:val="Compact"/>
        <w:numPr>
          <w:ilvl w:val="0"/>
          <w:numId w:val="1002"/>
        </w:numPr>
      </w:pPr>
      <w:r>
        <w:t xml:space="preserve">Secondary: Selected community areas in Tumkur district</w:t>
      </w:r>
    </w:p>
    <w:bookmarkEnd w:id="12"/>
    <w:bookmarkStart w:id="13" w:name="study-duration"/>
    <w:p>
      <w:pPr>
        <w:pStyle w:val="Heading2"/>
      </w:pPr>
      <w:r>
        <w:t xml:space="preserve">5. Study Duration</w:t>
      </w:r>
    </w:p>
    <w:p>
      <w:pPr>
        <w:pStyle w:val="Compact"/>
        <w:numPr>
          <w:ilvl w:val="0"/>
          <w:numId w:val="1003"/>
        </w:numPr>
      </w:pPr>
      <w:r>
        <w:t xml:space="preserve">Proposed start date: __________</w:t>
      </w:r>
    </w:p>
    <w:p>
      <w:pPr>
        <w:pStyle w:val="Compact"/>
        <w:numPr>
          <w:ilvl w:val="0"/>
          <w:numId w:val="1003"/>
        </w:numPr>
      </w:pPr>
      <w:r>
        <w:t xml:space="preserve">Proposed end date: __________</w:t>
      </w:r>
    </w:p>
    <w:p>
      <w:pPr>
        <w:pStyle w:val="Compact"/>
        <w:numPr>
          <w:ilvl w:val="0"/>
          <w:numId w:val="1003"/>
        </w:numPr>
      </w:pPr>
      <w:r>
        <w:t xml:space="preserve">Total duration: 16 months</w:t>
      </w:r>
    </w:p>
    <w:bookmarkEnd w:id="13"/>
    <w:bookmarkStart w:id="14" w:name="background-and-rationale"/>
    <w:p>
      <w:pPr>
        <w:pStyle w:val="Heading2"/>
      </w:pPr>
      <w:r>
        <w:t xml:space="preserve">6. Background and Rationale</w:t>
      </w:r>
    </w:p>
    <w:p>
      <w:pPr>
        <w:pStyle w:val="FirstParagraph"/>
      </w:pPr>
      <w:r>
        <w:t xml:space="preserve">[Include detailed background as per main protocol]</w:t>
      </w:r>
    </w:p>
    <w:bookmarkEnd w:id="14"/>
    <w:bookmarkStart w:id="15" w:name="objectives"/>
    <w:p>
      <w:pPr>
        <w:pStyle w:val="Heading2"/>
      </w:pPr>
      <w:r>
        <w:t xml:space="preserve">7. Objectives</w:t>
      </w:r>
    </w:p>
    <w:p>
      <w:pPr>
        <w:pStyle w:val="FirstParagraph"/>
      </w:pPr>
      <w:r>
        <w:t xml:space="preserve">[Include all objectives as per main protocol]</w:t>
      </w:r>
    </w:p>
    <w:bookmarkEnd w:id="15"/>
    <w:bookmarkStart w:id="16" w:name="study-design"/>
    <w:p>
      <w:pPr>
        <w:pStyle w:val="Heading2"/>
      </w:pPr>
      <w:r>
        <w:t xml:space="preserve">8. Study Design</w:t>
      </w:r>
    </w:p>
    <w:p>
      <w:pPr>
        <w:pStyle w:val="Compact"/>
        <w:numPr>
          <w:ilvl w:val="0"/>
          <w:numId w:val="1004"/>
        </w:numPr>
      </w:pPr>
      <w:r>
        <w:t xml:space="preserve">Type: Cross-sectional epidemiological study with nested case-control components</w:t>
      </w:r>
    </w:p>
    <w:p>
      <w:pPr>
        <w:pStyle w:val="Compact"/>
        <w:numPr>
          <w:ilvl w:val="0"/>
          <w:numId w:val="1004"/>
        </w:numPr>
      </w:pPr>
      <w:r>
        <w:t xml:space="preserve">Study population: Residents of Tumkur district aged 5-65 years</w:t>
      </w:r>
    </w:p>
    <w:p>
      <w:pPr>
        <w:pStyle w:val="Compact"/>
        <w:numPr>
          <w:ilvl w:val="0"/>
          <w:numId w:val="1004"/>
        </w:numPr>
      </w:pPr>
      <w:r>
        <w:t xml:space="preserve">Sample size: 1,200 participants</w:t>
      </w:r>
    </w:p>
    <w:p>
      <w:pPr>
        <w:pStyle w:val="Compact"/>
        <w:numPr>
          <w:ilvl w:val="0"/>
          <w:numId w:val="1004"/>
        </w:numPr>
      </w:pPr>
      <w:r>
        <w:t xml:space="preserve">Sampling method: Multi-stage stratified random sampling</w:t>
      </w:r>
    </w:p>
    <w:bookmarkEnd w:id="16"/>
    <w:bookmarkStart w:id="17" w:name="methodology"/>
    <w:p>
      <w:pPr>
        <w:pStyle w:val="Heading2"/>
      </w:pPr>
      <w:r>
        <w:t xml:space="preserve">9. Methodology</w:t>
      </w:r>
    </w:p>
    <w:p>
      <w:pPr>
        <w:pStyle w:val="FirstParagraph"/>
      </w:pPr>
      <w:r>
        <w:t xml:space="preserve">[Brief summary of data collection methods, including questionnaire administration, clinical examination, skin prick testing, and laboratory investigations]</w:t>
      </w:r>
    </w:p>
    <w:bookmarkEnd w:id="17"/>
    <w:bookmarkStart w:id="21" w:name="potential-risks-and-benefits"/>
    <w:p>
      <w:pPr>
        <w:pStyle w:val="Heading2"/>
      </w:pPr>
      <w:r>
        <w:t xml:space="preserve">10. Potential Risks and Benefits</w:t>
      </w:r>
    </w:p>
    <w:bookmarkStart w:id="18" w:name="potential-risks"/>
    <w:p>
      <w:pPr>
        <w:pStyle w:val="Heading3"/>
      </w:pPr>
      <w:r>
        <w:t xml:space="preserve">Potential Risks: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Minimal physical risks:</w:t>
      </w:r>
      <w:r>
        <w:t xml:space="preserve"> </w:t>
      </w:r>
      <w:r>
        <w:t xml:space="preserve">Skin prick testing may cause mild discomfort, itching, or rarely allergic reactions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Psychological risks:</w:t>
      </w:r>
      <w:r>
        <w:t xml:space="preserve"> </w:t>
      </w:r>
      <w:r>
        <w:t xml:space="preserve">Anxiety related to testing or diagnosis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Privacy risks:</w:t>
      </w:r>
      <w:r>
        <w:t xml:space="preserve"> </w:t>
      </w:r>
      <w:r>
        <w:t xml:space="preserve">Potential breach of confidentiality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Social risks:</w:t>
      </w:r>
      <w:r>
        <w:t xml:space="preserve"> </w:t>
      </w:r>
      <w:r>
        <w:t xml:space="preserve">Stigma associated with allergy diagnosis</w:t>
      </w:r>
    </w:p>
    <w:bookmarkEnd w:id="18"/>
    <w:bookmarkStart w:id="19" w:name="potential-benefits"/>
    <w:p>
      <w:pPr>
        <w:pStyle w:val="Heading3"/>
      </w:pPr>
      <w:r>
        <w:t xml:space="preserve">Potential Benefits: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Individual benefits:</w:t>
      </w:r>
      <w:r>
        <w:t xml:space="preserve"> </w:t>
      </w:r>
      <w:r>
        <w:t xml:space="preserve">Early diagnosis and appropriate management of allergic conditions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Community benefits:</w:t>
      </w:r>
      <w:r>
        <w:t xml:space="preserve"> </w:t>
      </w:r>
      <w:r>
        <w:t xml:space="preserve">Better understanding of local allergy patterns and risk factors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Scientific benefits:</w:t>
      </w:r>
      <w:r>
        <w:t xml:space="preserve"> </w:t>
      </w:r>
      <w:r>
        <w:t xml:space="preserve">Contribution to allergy epidemiology in Indian context</w:t>
      </w:r>
    </w:p>
    <w:bookmarkEnd w:id="19"/>
    <w:bookmarkStart w:id="20" w:name="risk-mitigation"/>
    <w:p>
      <w:pPr>
        <w:pStyle w:val="Heading3"/>
      </w:pPr>
      <w:r>
        <w:t xml:space="preserve">Risk Mitigation:</w:t>
      </w:r>
    </w:p>
    <w:p>
      <w:pPr>
        <w:pStyle w:val="Compact"/>
        <w:numPr>
          <w:ilvl w:val="0"/>
          <w:numId w:val="1007"/>
        </w:numPr>
      </w:pPr>
      <w:r>
        <w:t xml:space="preserve">Trained medical personnel will conduct all procedures</w:t>
      </w:r>
    </w:p>
    <w:p>
      <w:pPr>
        <w:pStyle w:val="Compact"/>
        <w:numPr>
          <w:ilvl w:val="0"/>
          <w:numId w:val="1007"/>
        </w:numPr>
      </w:pPr>
      <w:r>
        <w:t xml:space="preserve">Emergency medications and equipment available</w:t>
      </w:r>
    </w:p>
    <w:p>
      <w:pPr>
        <w:pStyle w:val="Compact"/>
        <w:numPr>
          <w:ilvl w:val="0"/>
          <w:numId w:val="1007"/>
        </w:numPr>
      </w:pPr>
      <w:r>
        <w:t xml:space="preserve">Strict confidentiality measures</w:t>
      </w:r>
    </w:p>
    <w:p>
      <w:pPr>
        <w:pStyle w:val="Compact"/>
        <w:numPr>
          <w:ilvl w:val="0"/>
          <w:numId w:val="1007"/>
        </w:numPr>
      </w:pPr>
      <w:r>
        <w:t xml:space="preserve">Voluntary participation with right to withdraw</w:t>
      </w:r>
    </w:p>
    <w:bookmarkEnd w:id="20"/>
    <w:bookmarkEnd w:id="21"/>
    <w:bookmarkStart w:id="26" w:name="informed-consent-process"/>
    <w:p>
      <w:pPr>
        <w:pStyle w:val="Heading2"/>
      </w:pPr>
      <w:r>
        <w:t xml:space="preserve">11. Informed Consent Process</w:t>
      </w:r>
    </w:p>
    <w:bookmarkStart w:id="22" w:name="consent-for-adults"/>
    <w:p>
      <w:pPr>
        <w:pStyle w:val="Heading3"/>
      </w:pPr>
      <w:r>
        <w:t xml:space="preserve">Consent for Adults:</w:t>
      </w:r>
    </w:p>
    <w:p>
      <w:pPr>
        <w:pStyle w:val="Compact"/>
        <w:numPr>
          <w:ilvl w:val="0"/>
          <w:numId w:val="1008"/>
        </w:numPr>
      </w:pPr>
      <w:r>
        <w:t xml:space="preserve">Written informed consent in local language (Kannada) and English</w:t>
      </w:r>
    </w:p>
    <w:p>
      <w:pPr>
        <w:pStyle w:val="Compact"/>
        <w:numPr>
          <w:ilvl w:val="0"/>
          <w:numId w:val="1008"/>
        </w:numPr>
      </w:pPr>
      <w:r>
        <w:t xml:space="preserve">Consent form includes study details, procedures, risks, benefits, and rights</w:t>
      </w:r>
    </w:p>
    <w:p>
      <w:pPr>
        <w:pStyle w:val="Compact"/>
        <w:numPr>
          <w:ilvl w:val="0"/>
          <w:numId w:val="1008"/>
        </w:numPr>
      </w:pPr>
      <w:r>
        <w:t xml:space="preserve">Separate consent for biological sample collection and storage</w:t>
      </w:r>
    </w:p>
    <w:bookmarkEnd w:id="22"/>
    <w:bookmarkStart w:id="23" w:name="consent-for-children-5-17-years"/>
    <w:p>
      <w:pPr>
        <w:pStyle w:val="Heading3"/>
      </w:pPr>
      <w:r>
        <w:t xml:space="preserve">Consent for Children (5-17 years):</w:t>
      </w:r>
    </w:p>
    <w:p>
      <w:pPr>
        <w:pStyle w:val="Compact"/>
        <w:numPr>
          <w:ilvl w:val="0"/>
          <w:numId w:val="1009"/>
        </w:numPr>
      </w:pPr>
      <w:r>
        <w:t xml:space="preserve">Parental/guardian written consent</w:t>
      </w:r>
    </w:p>
    <w:p>
      <w:pPr>
        <w:pStyle w:val="Compact"/>
        <w:numPr>
          <w:ilvl w:val="0"/>
          <w:numId w:val="1009"/>
        </w:numPr>
      </w:pPr>
      <w:r>
        <w:t xml:space="preserve">Child assent for children 7-17 years</w:t>
      </w:r>
    </w:p>
    <w:p>
      <w:pPr>
        <w:pStyle w:val="Compact"/>
        <w:numPr>
          <w:ilvl w:val="0"/>
          <w:numId w:val="1009"/>
        </w:numPr>
      </w:pPr>
      <w:r>
        <w:t xml:space="preserve">Simplified consent forms for minors</w:t>
      </w:r>
    </w:p>
    <w:bookmarkEnd w:id="23"/>
    <w:bookmarkStart w:id="24" w:name="consent-for-illiterate-participants"/>
    <w:p>
      <w:pPr>
        <w:pStyle w:val="Heading3"/>
      </w:pPr>
      <w:r>
        <w:t xml:space="preserve">Consent for Illiterate Participants:</w:t>
      </w:r>
    </w:p>
    <w:p>
      <w:pPr>
        <w:pStyle w:val="Compact"/>
        <w:numPr>
          <w:ilvl w:val="0"/>
          <w:numId w:val="1010"/>
        </w:numPr>
      </w:pPr>
      <w:r>
        <w:t xml:space="preserve">Thumb impression with impartial witness</w:t>
      </w:r>
    </w:p>
    <w:p>
      <w:pPr>
        <w:pStyle w:val="Compact"/>
        <w:numPr>
          <w:ilvl w:val="0"/>
          <w:numId w:val="1010"/>
        </w:numPr>
      </w:pPr>
      <w:r>
        <w:t xml:space="preserve">Verbal consent read aloud and explained</w:t>
      </w:r>
    </w:p>
    <w:bookmarkEnd w:id="24"/>
    <w:bookmarkStart w:id="25" w:name="consent-process"/>
    <w:p>
      <w:pPr>
        <w:pStyle w:val="Heading3"/>
      </w:pPr>
      <w:r>
        <w:t xml:space="preserve">Consent Process:</w:t>
      </w:r>
    </w:p>
    <w:p>
      <w:pPr>
        <w:pStyle w:val="Compact"/>
        <w:numPr>
          <w:ilvl w:val="0"/>
          <w:numId w:val="1011"/>
        </w:numPr>
      </w:pPr>
      <w:r>
        <w:t xml:space="preserve">Conducted in private setting</w:t>
      </w:r>
    </w:p>
    <w:p>
      <w:pPr>
        <w:pStyle w:val="Compact"/>
        <w:numPr>
          <w:ilvl w:val="0"/>
          <w:numId w:val="1011"/>
        </w:numPr>
      </w:pPr>
      <w:r>
        <w:t xml:space="preserve">Sufficient time for questions</w:t>
      </w:r>
    </w:p>
    <w:p>
      <w:pPr>
        <w:pStyle w:val="Compact"/>
        <w:numPr>
          <w:ilvl w:val="0"/>
          <w:numId w:val="1011"/>
        </w:numPr>
      </w:pPr>
      <w:r>
        <w:t xml:space="preserve">No coercion or undue influence</w:t>
      </w:r>
    </w:p>
    <w:p>
      <w:pPr>
        <w:pStyle w:val="Compact"/>
        <w:numPr>
          <w:ilvl w:val="0"/>
          <w:numId w:val="1011"/>
        </w:numPr>
      </w:pPr>
      <w:r>
        <w:t xml:space="preserve">Right to withdraw at any time</w:t>
      </w:r>
    </w:p>
    <w:bookmarkEnd w:id="25"/>
    <w:bookmarkEnd w:id="26"/>
    <w:bookmarkStart w:id="30" w:name="confidentiality-and-data-protection"/>
    <w:p>
      <w:pPr>
        <w:pStyle w:val="Heading2"/>
      </w:pPr>
      <w:r>
        <w:t xml:space="preserve">12. Confidentiality and Data Protection</w:t>
      </w:r>
    </w:p>
    <w:bookmarkStart w:id="27" w:name="data-management"/>
    <w:p>
      <w:pPr>
        <w:pStyle w:val="Heading3"/>
      </w:pPr>
      <w:r>
        <w:t xml:space="preserve">Data Management:</w:t>
      </w:r>
    </w:p>
    <w:p>
      <w:pPr>
        <w:pStyle w:val="Compact"/>
        <w:numPr>
          <w:ilvl w:val="0"/>
          <w:numId w:val="1012"/>
        </w:numPr>
      </w:pPr>
      <w:r>
        <w:t xml:space="preserve">Anonymous data collection where possible</w:t>
      </w:r>
    </w:p>
    <w:p>
      <w:pPr>
        <w:pStyle w:val="Compact"/>
        <w:numPr>
          <w:ilvl w:val="0"/>
          <w:numId w:val="1012"/>
        </w:numPr>
      </w:pPr>
      <w:r>
        <w:t xml:space="preserve">Unique participant identification numbers</w:t>
      </w:r>
    </w:p>
    <w:p>
      <w:pPr>
        <w:pStyle w:val="Compact"/>
        <w:numPr>
          <w:ilvl w:val="0"/>
          <w:numId w:val="1012"/>
        </w:numPr>
      </w:pPr>
      <w:r>
        <w:t xml:space="preserve">Password-protected electronic databases</w:t>
      </w:r>
    </w:p>
    <w:p>
      <w:pPr>
        <w:pStyle w:val="Compact"/>
        <w:numPr>
          <w:ilvl w:val="0"/>
          <w:numId w:val="1012"/>
        </w:numPr>
      </w:pPr>
      <w:r>
        <w:t xml:space="preserve">Secure storage of physical records</w:t>
      </w:r>
    </w:p>
    <w:bookmarkEnd w:id="27"/>
    <w:bookmarkStart w:id="28" w:name="biological-samples"/>
    <w:p>
      <w:pPr>
        <w:pStyle w:val="Heading3"/>
      </w:pPr>
      <w:r>
        <w:t xml:space="preserve">Biological Samples:</w:t>
      </w:r>
    </w:p>
    <w:p>
      <w:pPr>
        <w:pStyle w:val="Compact"/>
        <w:numPr>
          <w:ilvl w:val="0"/>
          <w:numId w:val="1013"/>
        </w:numPr>
      </w:pPr>
      <w:r>
        <w:t xml:space="preserve">Coded samples without personal identifiers</w:t>
      </w:r>
    </w:p>
    <w:p>
      <w:pPr>
        <w:pStyle w:val="Compact"/>
        <w:numPr>
          <w:ilvl w:val="0"/>
          <w:numId w:val="1013"/>
        </w:numPr>
      </w:pPr>
      <w:r>
        <w:t xml:space="preserve">Secure storage in -80°C freezers</w:t>
      </w:r>
    </w:p>
    <w:p>
      <w:pPr>
        <w:pStyle w:val="Compact"/>
        <w:numPr>
          <w:ilvl w:val="0"/>
          <w:numId w:val="1013"/>
        </w:numPr>
      </w:pPr>
      <w:r>
        <w:t xml:space="preserve">Limited access to authorized personnel only</w:t>
      </w:r>
    </w:p>
    <w:p>
      <w:pPr>
        <w:pStyle w:val="Compact"/>
        <w:numPr>
          <w:ilvl w:val="0"/>
          <w:numId w:val="1013"/>
        </w:numPr>
      </w:pPr>
      <w:r>
        <w:t xml:space="preserve">Destruction protocol after analysis</w:t>
      </w:r>
    </w:p>
    <w:bookmarkEnd w:id="28"/>
    <w:bookmarkStart w:id="29" w:name="data-sharing"/>
    <w:p>
      <w:pPr>
        <w:pStyle w:val="Heading3"/>
      </w:pPr>
      <w:r>
        <w:t xml:space="preserve">Data Sharing:</w:t>
      </w:r>
    </w:p>
    <w:p>
      <w:pPr>
        <w:pStyle w:val="Compact"/>
        <w:numPr>
          <w:ilvl w:val="0"/>
          <w:numId w:val="1014"/>
        </w:numPr>
      </w:pPr>
      <w:r>
        <w:t xml:space="preserve">Aggregate data only for publications</w:t>
      </w:r>
    </w:p>
    <w:p>
      <w:pPr>
        <w:pStyle w:val="Compact"/>
        <w:numPr>
          <w:ilvl w:val="0"/>
          <w:numId w:val="1014"/>
        </w:numPr>
      </w:pPr>
      <w:r>
        <w:t xml:space="preserve">Individual data not shared without consent</w:t>
      </w:r>
    </w:p>
    <w:p>
      <w:pPr>
        <w:pStyle w:val="Compact"/>
        <w:numPr>
          <w:ilvl w:val="0"/>
          <w:numId w:val="1014"/>
        </w:numPr>
      </w:pPr>
      <w:r>
        <w:t xml:space="preserve">Compliance with data protection regulations</w:t>
      </w:r>
    </w:p>
    <w:bookmarkEnd w:id="29"/>
    <w:bookmarkEnd w:id="30"/>
    <w:bookmarkStart w:id="31" w:name="vulnerable-populations"/>
    <w:p>
      <w:pPr>
        <w:pStyle w:val="Heading2"/>
      </w:pPr>
      <w:r>
        <w:t xml:space="preserve">13. Vulnerable Populations</w:t>
      </w:r>
    </w:p>
    <w:p>
      <w:pPr>
        <w:pStyle w:val="Compact"/>
        <w:numPr>
          <w:ilvl w:val="0"/>
          <w:numId w:val="1015"/>
        </w:numPr>
      </w:pPr>
      <w:r>
        <w:t xml:space="preserve">Children (5-17 years): Additional protections as per national guidelines</w:t>
      </w:r>
    </w:p>
    <w:p>
      <w:pPr>
        <w:pStyle w:val="Compact"/>
        <w:numPr>
          <w:ilvl w:val="0"/>
          <w:numId w:val="1015"/>
        </w:numPr>
      </w:pPr>
      <w:r>
        <w:t xml:space="preserve">Pregnant women: Excluded from certain procedures</w:t>
      </w:r>
    </w:p>
    <w:p>
      <w:pPr>
        <w:pStyle w:val="Compact"/>
        <w:numPr>
          <w:ilvl w:val="0"/>
          <w:numId w:val="1015"/>
        </w:numPr>
      </w:pPr>
      <w:r>
        <w:t xml:space="preserve">Illiterate individuals: Special consent procedures</w:t>
      </w:r>
    </w:p>
    <w:p>
      <w:pPr>
        <w:pStyle w:val="Compact"/>
        <w:numPr>
          <w:ilvl w:val="0"/>
          <w:numId w:val="1015"/>
        </w:numPr>
      </w:pPr>
      <w:r>
        <w:t xml:space="preserve">Economically disadvantaged: No financial incentives that could influence participation</w:t>
      </w:r>
    </w:p>
    <w:bookmarkEnd w:id="31"/>
    <w:bookmarkStart w:id="32" w:name="compensation-for-injury"/>
    <w:p>
      <w:pPr>
        <w:pStyle w:val="Heading2"/>
      </w:pPr>
      <w:r>
        <w:t xml:space="preserve">14. Compensation for Injury</w:t>
      </w:r>
    </w:p>
    <w:p>
      <w:pPr>
        <w:pStyle w:val="Compact"/>
        <w:numPr>
          <w:ilvl w:val="0"/>
          <w:numId w:val="1016"/>
        </w:numPr>
      </w:pPr>
      <w:r>
        <w:t xml:space="preserve">Free medical treatment for any study-related injury</w:t>
      </w:r>
    </w:p>
    <w:p>
      <w:pPr>
        <w:pStyle w:val="Compact"/>
        <w:numPr>
          <w:ilvl w:val="0"/>
          <w:numId w:val="1016"/>
        </w:numPr>
      </w:pPr>
      <w:r>
        <w:t xml:space="preserve">Transportation and medical expenses covered</w:t>
      </w:r>
    </w:p>
    <w:p>
      <w:pPr>
        <w:pStyle w:val="Compact"/>
        <w:numPr>
          <w:ilvl w:val="0"/>
          <w:numId w:val="1016"/>
        </w:numPr>
      </w:pPr>
      <w:r>
        <w:t xml:space="preserve">No upper limit on compensation</w:t>
      </w:r>
    </w:p>
    <w:p>
      <w:pPr>
        <w:pStyle w:val="Compact"/>
        <w:numPr>
          <w:ilvl w:val="0"/>
          <w:numId w:val="1016"/>
        </w:numPr>
      </w:pPr>
      <w:r>
        <w:t xml:space="preserve">Independent assessment for compensation claims</w:t>
      </w:r>
    </w:p>
    <w:bookmarkEnd w:id="32"/>
    <w:bookmarkStart w:id="33" w:name="publication-policy"/>
    <w:p>
      <w:pPr>
        <w:pStyle w:val="Heading2"/>
      </w:pPr>
      <w:r>
        <w:t xml:space="preserve">15. Publication Policy</w:t>
      </w:r>
    </w:p>
    <w:p>
      <w:pPr>
        <w:pStyle w:val="Compact"/>
        <w:numPr>
          <w:ilvl w:val="0"/>
          <w:numId w:val="1017"/>
        </w:numPr>
      </w:pPr>
      <w:r>
        <w:t xml:space="preserve">Authorship based on ICMJE criteria</w:t>
      </w:r>
    </w:p>
    <w:p>
      <w:pPr>
        <w:pStyle w:val="Compact"/>
        <w:numPr>
          <w:ilvl w:val="0"/>
          <w:numId w:val="1017"/>
        </w:numPr>
      </w:pPr>
      <w:r>
        <w:t xml:space="preserve">Acknowledgment of IEC approval in all publications</w:t>
      </w:r>
    </w:p>
    <w:p>
      <w:pPr>
        <w:pStyle w:val="Compact"/>
        <w:numPr>
          <w:ilvl w:val="0"/>
          <w:numId w:val="1017"/>
        </w:numPr>
      </w:pPr>
      <w:r>
        <w:t xml:space="preserve">Sharing of results with participants and community</w:t>
      </w:r>
    </w:p>
    <w:bookmarkEnd w:id="33"/>
    <w:bookmarkStart w:id="34" w:name="monitoring-and-auditing"/>
    <w:p>
      <w:pPr>
        <w:pStyle w:val="Heading2"/>
      </w:pPr>
      <w:r>
        <w:t xml:space="preserve">16. Monitoring and Auditing</w:t>
      </w:r>
    </w:p>
    <w:p>
      <w:pPr>
        <w:pStyle w:val="Compact"/>
        <w:numPr>
          <w:ilvl w:val="0"/>
          <w:numId w:val="1018"/>
        </w:numPr>
      </w:pPr>
      <w:r>
        <w:t xml:space="preserve">Regular progress reports to IEC</w:t>
      </w:r>
    </w:p>
    <w:p>
      <w:pPr>
        <w:pStyle w:val="Compact"/>
        <w:numPr>
          <w:ilvl w:val="0"/>
          <w:numId w:val="1018"/>
        </w:numPr>
      </w:pPr>
      <w:r>
        <w:t xml:space="preserve">Data safety monitoring</w:t>
      </w:r>
    </w:p>
    <w:p>
      <w:pPr>
        <w:pStyle w:val="Compact"/>
        <w:numPr>
          <w:ilvl w:val="0"/>
          <w:numId w:val="1018"/>
        </w:numPr>
      </w:pPr>
      <w:r>
        <w:t xml:space="preserve">Protocol deviations reported immediately</w:t>
      </w:r>
    </w:p>
    <w:p>
      <w:pPr>
        <w:pStyle w:val="Compact"/>
        <w:numPr>
          <w:ilvl w:val="0"/>
          <w:numId w:val="1018"/>
        </w:numPr>
      </w:pPr>
      <w:r>
        <w:t xml:space="preserve">Annual continuing review</w:t>
      </w:r>
    </w:p>
    <w:bookmarkEnd w:id="34"/>
    <w:bookmarkStart w:id="35" w:name="budget"/>
    <w:p>
      <w:pPr>
        <w:pStyle w:val="Heading2"/>
      </w:pPr>
      <w:r>
        <w:t xml:space="preserve">17. Budget</w:t>
      </w:r>
    </w:p>
    <w:p>
      <w:pPr>
        <w:pStyle w:val="FirstParagraph"/>
      </w:pPr>
      <w:r>
        <w:t xml:space="preserve">[Attach detailed budget showing funding sources and utilization]</w:t>
      </w:r>
    </w:p>
    <w:bookmarkEnd w:id="35"/>
    <w:bookmarkStart w:id="36" w:name="regulatory-approvals"/>
    <w:p>
      <w:pPr>
        <w:pStyle w:val="Heading2"/>
      </w:pPr>
      <w:r>
        <w:t xml:space="preserve">18. Regulatory Approvals</w:t>
      </w:r>
    </w:p>
    <w:p>
      <w:pPr>
        <w:pStyle w:val="Compact"/>
        <w:numPr>
          <w:ilvl w:val="0"/>
          <w:numId w:val="1019"/>
        </w:numPr>
      </w:pPr>
      <w:r>
        <w:t xml:space="preserve">IEC approval required before study initiation</w:t>
      </w:r>
    </w:p>
    <w:p>
      <w:pPr>
        <w:pStyle w:val="Compact"/>
        <w:numPr>
          <w:ilvl w:val="0"/>
          <w:numId w:val="1019"/>
        </w:numPr>
      </w:pPr>
      <w:r>
        <w:t xml:space="preserve">Scientific and ethical review from relevant authorities</w:t>
      </w:r>
    </w:p>
    <w:p>
      <w:pPr>
        <w:pStyle w:val="Compact"/>
        <w:numPr>
          <w:ilvl w:val="0"/>
          <w:numId w:val="1019"/>
        </w:numPr>
      </w:pPr>
      <w:r>
        <w:t xml:space="preserve">Registration with Clinical Trials Registry of India (CTRI) if applicable</w:t>
      </w:r>
    </w:p>
    <w:bookmarkEnd w:id="36"/>
    <w:bookmarkStart w:id="37" w:name="conflict-of-interest"/>
    <w:p>
      <w:pPr>
        <w:pStyle w:val="Heading2"/>
      </w:pPr>
      <w:r>
        <w:t xml:space="preserve">19. Conflict of Interest</w:t>
      </w:r>
    </w:p>
    <w:p>
      <w:pPr>
        <w:pStyle w:val="Compact"/>
        <w:numPr>
          <w:ilvl w:val="0"/>
          <w:numId w:val="1020"/>
        </w:numPr>
      </w:pPr>
      <w:r>
        <w:t xml:space="preserve">None declared</w:t>
      </w:r>
    </w:p>
    <w:p>
      <w:pPr>
        <w:pStyle w:val="Compact"/>
        <w:numPr>
          <w:ilvl w:val="0"/>
          <w:numId w:val="1020"/>
        </w:numPr>
      </w:pPr>
      <w:r>
        <w:t xml:space="preserve">Funding source: __________</w:t>
      </w:r>
    </w:p>
    <w:p>
      <w:pPr>
        <w:pStyle w:val="Compact"/>
        <w:numPr>
          <w:ilvl w:val="0"/>
          <w:numId w:val="1020"/>
        </w:numPr>
      </w:pPr>
      <w:r>
        <w:t xml:space="preserve">No industry sponsorship</w:t>
      </w:r>
    </w:p>
    <w:bookmarkEnd w:id="37"/>
    <w:bookmarkStart w:id="38" w:name="references"/>
    <w:p>
      <w:pPr>
        <w:pStyle w:val="Heading2"/>
      </w:pPr>
      <w:r>
        <w:t xml:space="preserve">20. References</w:t>
      </w:r>
    </w:p>
    <w:p>
      <w:pPr>
        <w:pStyle w:val="FirstParagraph"/>
      </w:pPr>
      <w:r>
        <w:t xml:space="preserve">[List relevant references]</w:t>
      </w:r>
    </w:p>
    <w:bookmarkEnd w:id="38"/>
    <w:bookmarkStart w:id="39" w:name="annexures"/>
    <w:p>
      <w:pPr>
        <w:pStyle w:val="Heading2"/>
      </w:pPr>
      <w:r>
        <w:t xml:space="preserve">Annexures</w:t>
      </w:r>
    </w:p>
    <w:p>
      <w:pPr>
        <w:pStyle w:val="Compact"/>
        <w:numPr>
          <w:ilvl w:val="0"/>
          <w:numId w:val="1021"/>
        </w:numPr>
      </w:pPr>
      <w:r>
        <w:t xml:space="preserve">Main study protocol</w:t>
      </w:r>
    </w:p>
    <w:p>
      <w:pPr>
        <w:pStyle w:val="Compact"/>
        <w:numPr>
          <w:ilvl w:val="0"/>
          <w:numId w:val="1021"/>
        </w:numPr>
      </w:pPr>
      <w:r>
        <w:t xml:space="preserve">Participant information sheet</w:t>
      </w:r>
    </w:p>
    <w:p>
      <w:pPr>
        <w:pStyle w:val="Compact"/>
        <w:numPr>
          <w:ilvl w:val="0"/>
          <w:numId w:val="1021"/>
        </w:numPr>
      </w:pPr>
      <w:r>
        <w:t xml:space="preserve">Informed consent forms (adult, minor, illiterate)</w:t>
      </w:r>
    </w:p>
    <w:p>
      <w:pPr>
        <w:pStyle w:val="Compact"/>
        <w:numPr>
          <w:ilvl w:val="0"/>
          <w:numId w:val="1021"/>
        </w:numPr>
      </w:pPr>
      <w:r>
        <w:t xml:space="preserve">Case report forms</w:t>
      </w:r>
    </w:p>
    <w:p>
      <w:pPr>
        <w:pStyle w:val="Compact"/>
        <w:numPr>
          <w:ilvl w:val="0"/>
          <w:numId w:val="1021"/>
        </w:numPr>
      </w:pPr>
      <w:r>
        <w:t xml:space="preserve">Investigator CVs</w:t>
      </w:r>
    </w:p>
    <w:p>
      <w:pPr>
        <w:pStyle w:val="Compact"/>
        <w:numPr>
          <w:ilvl w:val="0"/>
          <w:numId w:val="1021"/>
        </w:numPr>
      </w:pPr>
      <w:r>
        <w:t xml:space="preserve">Budget details</w:t>
      </w:r>
    </w:p>
    <w:p>
      <w:pPr>
        <w:pStyle w:val="Compact"/>
        <w:numPr>
          <w:ilvl w:val="0"/>
          <w:numId w:val="1021"/>
        </w:numPr>
      </w:pPr>
      <w:r>
        <w:t xml:space="preserve">GCP training certificates</w:t>
      </w:r>
    </w:p>
    <w:p>
      <w:pPr>
        <w:pStyle w:val="Compact"/>
        <w:numPr>
          <w:ilvl w:val="0"/>
          <w:numId w:val="1021"/>
        </w:numPr>
      </w:pPr>
      <w:r>
        <w:t xml:space="preserve">Laboratory certifications</w:t>
      </w:r>
    </w:p>
    <w:p>
      <w:pPr>
        <w:pStyle w:val="Compact"/>
        <w:numPr>
          <w:ilvl w:val="0"/>
          <w:numId w:val="1021"/>
        </w:numPr>
      </w:pPr>
      <w:r>
        <w:t xml:space="preserve">Insurance documents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Principal Investigator Signature:</w:t>
      </w:r>
      <w:r>
        <w:t xml:space="preserve"> </w:t>
      </w:r>
      <w:r>
        <w:t xml:space="preserve">__________</w:t>
      </w:r>
    </w:p>
    <w:p>
      <w:pPr>
        <w:pStyle w:val="BodyText"/>
      </w:pPr>
      <w:r>
        <w:rPr>
          <w:b/>
          <w:bCs/>
        </w:rPr>
        <w:t xml:space="preserve">Date:</w:t>
      </w:r>
      <w:r>
        <w:t xml:space="preserve"> </w:t>
      </w:r>
      <w:r>
        <w:t xml:space="preserve">__________</w:t>
      </w:r>
    </w:p>
    <w:p>
      <w:pPr>
        <w:pStyle w:val="BodyText"/>
      </w:pPr>
      <w:r>
        <w:rPr>
          <w:b/>
          <w:bCs/>
        </w:rPr>
        <w:t xml:space="preserve">IEC Review Date:</w:t>
      </w:r>
      <w:r>
        <w:t xml:space="preserve"> </w:t>
      </w:r>
      <w:r>
        <w:t xml:space="preserve">__________</w:t>
      </w:r>
    </w:p>
    <w:p>
      <w:pPr>
        <w:pStyle w:val="BodyText"/>
      </w:pPr>
      <w:r>
        <w:rPr>
          <w:b/>
          <w:bCs/>
        </w:rPr>
        <w:t xml:space="preserve">IEC Decision:</w:t>
      </w:r>
      <w:r>
        <w:t xml:space="preserve"> </w:t>
      </w:r>
      <w:r>
        <w:t xml:space="preserve">__________</w:t>
      </w:r>
    </w:p>
    <w:p>
      <w:pPr>
        <w:pStyle w:val="BodyText"/>
      </w:pPr>
      <w:r>
        <w:rPr>
          <w:b/>
          <w:bCs/>
        </w:rPr>
        <w:t xml:space="preserve">IEC Comments:</w:t>
      </w:r>
      <w:r>
        <w:t xml:space="preserve"> </w:t>
      </w:r>
      <w:r>
        <w:t xml:space="preserve">__________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2025-11-03T09:37:04Z</dcterms:created>
  <dcterms:modified xsi:type="dcterms:W3CDTF">2025-11-03T09:37:04Z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