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Supplementary Materials</w:t>
      </w:r>
    </w:p>
    <w:p>
      <w:pPr>
        <w:jc w:val="center"/>
      </w:pPr>
      <w:r>
        <w:t>Molecular Determinants of BCG Vaccine Response Heterogeneity: A Systematic Review and Meta-Analysis</w:t>
      </w:r>
    </w:p>
    <w:p>
      <w:r>
        <w:br w:type="page"/>
      </w:r>
    </w:p>
    <w:p>
      <w:pPr>
        <w:pStyle w:val="Heading1"/>
      </w:pPr>
      <w:r>
        <w:t>Supplementary Figures</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S1_PRISMA_Flow_Diagram.png"/>
                    <pic:cNvPicPr/>
                  </pic:nvPicPr>
                  <pic:blipFill>
                    <a:blip r:embed="rId9"/>
                    <a:stretch>
                      <a:fillRect/>
                    </a:stretch>
                  </pic:blipFill>
                  <pic:spPr>
                    <a:xfrm>
                      <a:off x="0" y="0"/>
                      <a:ext cx="5486400" cy="5486400"/>
                    </a:xfrm>
                    <a:prstGeom prst="rect"/>
                  </pic:spPr>
                </pic:pic>
              </a:graphicData>
            </a:graphic>
          </wp:inline>
        </w:drawing>
      </w:r>
    </w:p>
    <w:p>
      <w:r>
        <w:t>Figure S1. PRISMA 2020 flow diagram for the systematic review.</w:t>
      </w:r>
    </w:p>
    <w:p>
      <w:r>
        <w:t>The flow diagram depicts the flow of information through the different phases of the systematic review. It maps out the number of records identified, included and excluded, and the reasons for exclusions.</w:t>
      </w:r>
    </w:p>
    <w:p>
      <w:r>
        <w:br w:type="page"/>
      </w:r>
    </w:p>
    <w:p>
      <w:pPr>
        <w:pStyle w:val="Heading1"/>
      </w:pPr>
      <w:r>
        <w:t>Supplementary Note 1: Detailed Search Strategy</w:t>
      </w:r>
    </w:p>
    <w:p>
      <w:r>
        <w:t>Database: PubMed/MEDLINE</w:t>
      </w:r>
    </w:p>
    <w:p>
      <w:r>
        <w:t>Date of Search: December 31, 2024</w:t>
      </w:r>
    </w:p>
    <w:tbl>
      <w:tblPr>
        <w:tblStyle w:val="TableGrid"/>
        <w:tblW w:type="auto" w:w="0"/>
        <w:tblLook w:firstColumn="1" w:firstRow="1" w:lastColumn="0" w:lastRow="0" w:noHBand="0" w:noVBand="1" w:val="04A0"/>
      </w:tblPr>
      <w:tblGrid>
        <w:gridCol w:w="4320"/>
        <w:gridCol w:w="4320"/>
      </w:tblGrid>
      <w:tr>
        <w:tc>
          <w:tcPr>
            <w:tcW w:type="dxa" w:w="4320"/>
          </w:tcPr>
          <w:p>
            <w:r>
              <w:t>Step</w:t>
            </w:r>
          </w:p>
        </w:tc>
        <w:tc>
          <w:tcPr>
            <w:tcW w:type="dxa" w:w="4320"/>
          </w:tcPr>
          <w:p>
            <w:r>
              <w:t>Search Query</w:t>
            </w:r>
          </w:p>
        </w:tc>
      </w:tr>
      <w:tr>
        <w:tc>
          <w:tcPr>
            <w:tcW w:type="dxa" w:w="4320"/>
          </w:tcPr>
          <w:p>
            <w:r>
              <w:t>1</w:t>
            </w:r>
          </w:p>
        </w:tc>
        <w:tc>
          <w:tcPr>
            <w:tcW w:type="dxa" w:w="4320"/>
          </w:tcPr>
          <w:p>
            <w:r>
              <w:t>BCG Vaccine OR Bacillus Calmette-Guerin OR trained immunity</w:t>
            </w:r>
          </w:p>
        </w:tc>
      </w:tr>
      <w:tr>
        <w:tc>
          <w:tcPr>
            <w:tcW w:type="dxa" w:w="4320"/>
          </w:tcPr>
          <w:p>
            <w:r>
              <w:t>2</w:t>
            </w:r>
          </w:p>
        </w:tc>
        <w:tc>
          <w:tcPr>
            <w:tcW w:type="dxa" w:w="4320"/>
          </w:tcPr>
          <w:p>
            <w:r>
              <w:t>heterogeneity OR variability OR responder OR non-responder OR variation</w:t>
            </w:r>
          </w:p>
        </w:tc>
      </w:tr>
      <w:tr>
        <w:tc>
          <w:tcPr>
            <w:tcW w:type="dxa" w:w="4320"/>
          </w:tcPr>
          <w:p>
            <w:r>
              <w:t>3</w:t>
            </w:r>
          </w:p>
        </w:tc>
        <w:tc>
          <w:tcPr>
            <w:tcW w:type="dxa" w:w="4320"/>
          </w:tcPr>
          <w:p>
            <w:r>
              <w:t>transcriptomics OR RNA-seq OR scRNA-seq OR microarray OR gene expression</w:t>
            </w:r>
          </w:p>
        </w:tc>
      </w:tr>
      <w:tr>
        <w:tc>
          <w:tcPr>
            <w:tcW w:type="dxa" w:w="4320"/>
          </w:tcPr>
          <w:p>
            <w:r>
              <w:t>4</w:t>
            </w:r>
          </w:p>
        </w:tc>
        <w:tc>
          <w:tcPr>
            <w:tcW w:type="dxa" w:w="4320"/>
          </w:tcPr>
          <w:p>
            <w:r>
              <w:t>epigenetics OR DNA methylation OR histone modification OR ATAC-seq OR ChIP-seq</w:t>
            </w:r>
          </w:p>
        </w:tc>
      </w:tr>
      <w:tr>
        <w:tc>
          <w:tcPr>
            <w:tcW w:type="dxa" w:w="4320"/>
          </w:tcPr>
          <w:p>
            <w:r>
              <w:t>5</w:t>
            </w:r>
          </w:p>
        </w:tc>
        <w:tc>
          <w:tcPr>
            <w:tcW w:type="dxa" w:w="4320"/>
          </w:tcPr>
          <w:p>
            <w:r>
              <w:t>metabolomics OR lipidomics OR metabolic profiling</w:t>
            </w:r>
          </w:p>
        </w:tc>
      </w:tr>
      <w:tr>
        <w:tc>
          <w:tcPr>
            <w:tcW w:type="dxa" w:w="4320"/>
          </w:tcPr>
          <w:p>
            <w:r>
              <w:t>6</w:t>
            </w:r>
          </w:p>
        </w:tc>
        <w:tc>
          <w:tcPr>
            <w:tcW w:type="dxa" w:w="4320"/>
          </w:tcPr>
          <w:p>
            <w:r>
              <w:t>3 OR 4 OR 5</w:t>
            </w:r>
          </w:p>
        </w:tc>
      </w:tr>
      <w:tr>
        <w:tc>
          <w:tcPr>
            <w:tcW w:type="dxa" w:w="4320"/>
          </w:tcPr>
          <w:p>
            <w:r>
              <w:t>7</w:t>
            </w:r>
          </w:p>
        </w:tc>
        <w:tc>
          <w:tcPr>
            <w:tcW w:type="dxa" w:w="4320"/>
          </w:tcPr>
          <w:p>
            <w:r>
              <w:t>1 AND 2 AND 6</w:t>
            </w:r>
          </w:p>
        </w:tc>
      </w:tr>
      <w:tr>
        <w:tc>
          <w:tcPr>
            <w:tcW w:type="dxa" w:w="4320"/>
          </w:tcPr>
          <w:p>
            <w:r>
              <w:t>8</w:t>
            </w:r>
          </w:p>
        </w:tc>
        <w:tc>
          <w:tcPr>
            <w:tcW w:type="dxa" w:w="4320"/>
          </w:tcPr>
          <w:p>
            <w:r>
              <w:t>Limit to Humans, English Language, 2012-2024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