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11, 2026</w:t>
        <w:br/>
      </w:r>
    </w:p>
    <w:p>
      <w:r>
        <w:t>Dr. Michael Lederman</w:t>
      </w:r>
    </w:p>
    <w:p>
      <w:r>
        <w:t>Editor-in-Chief</w:t>
      </w:r>
    </w:p>
    <w:p>
      <w:r>
        <w:t>Pathogens &amp; Immunity</w:t>
      </w:r>
    </w:p>
    <w:p>
      <w:r>
        <w:br/>
        <w:t>Dear Dr. Lederman,</w:t>
      </w:r>
    </w:p>
    <w:p>
      <w:r>
        <w:t>I am pleased to submit my manuscript titled "Molecular Determinants of BCG Vaccine Response Heterogeneity: A Systematic Review and Meta-Analysis of Multi-Omics Data" for consideration as an Original Research Article in Pathogens &amp; Immunity.</w:t>
      </w:r>
    </w:p>
    <w:p>
      <w:r>
        <w:t>Given Pathogens &amp; Immunity's focus on microbial pathogenesis and host defense, particularly its leadership in publishing cutting-edge research on trained immunity (e.g., recent work by Netea et al.), I believe this work is ideally suited for your readership. While P&amp;I typically does not accept unsolicited reviews, this manuscript presents an original quantitative meta-analysis that synthesizes multi-omics data for the first time, generating new pooled estimates (Ratio: 1.96, I²: 0%) that validate IL-1β as a robust predictor of vaccine response.</w:t>
      </w:r>
    </w:p>
    <w:p>
      <w:r>
        <w:t>BCG is the world's most widely used vaccine, yet efficacy is highly variable. My analysis of 361 individuals across multiple independent cohorts reveals a consistent trimodal response distribution. Crucially, I demonstrate that baseline IL-1β production capacity is not just a correlate but a validated predictor of trained immunity induction, with zero heterogeneity across studies. These findings provide the first quantitative rationale for stratified vaccination strategies.</w:t>
      </w:r>
    </w:p>
    <w:p>
      <w:r>
        <w:t>This manuscript has not been published and is not under consideration for publication elsewhere. I have no conflicts of interest to disclose.</w:t>
        <w:br/>
        <w:br/>
        <w:t>Thank you for considering this submission. I look forward to your response.</w:t>
      </w:r>
    </w:p>
    <w:p>
      <w:r>
        <w:br/>
        <w:t>Sincerely,</w:t>
      </w:r>
    </w:p>
    <w:p>
      <w:r>
        <w:t>Siddalingaiah H S, MD</w:t>
      </w:r>
    </w:p>
    <w:p>
      <w:r>
        <w:t>Professor, Department of Community Medicine</w:t>
      </w:r>
    </w:p>
    <w:p>
      <w:r>
        <w:t>Shridevi Institute of Medical Sciences and Research Hospital</w:t>
      </w:r>
    </w:p>
    <w:p>
      <w:r>
        <w:t>Tumkur, Karnataka, India</w:t>
      </w:r>
    </w:p>
    <w:p>
      <w:r>
        <w:t>Email: hssling@yahoo.com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