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10, 2026</w:t>
      </w:r>
    </w:p>
    <w:p/>
    <w:p>
      <w:r>
        <w:t>To the Editor-in-Chief</w:t>
      </w:r>
    </w:p>
    <w:p>
      <w:r>
        <w:t>Pathogens and Immunity</w:t>
      </w:r>
    </w:p>
    <w:p/>
    <w:p>
      <w:r>
        <w:rPr>
          <w:b/>
        </w:rPr>
        <w:t xml:space="preserve">Subject: </w:t>
      </w:r>
      <w:r>
        <w:t>Manuscript Submission - BCG Vaccine Response Heterogeneity: Molecular Mechanisms of Trained Immunity</w:t>
      </w:r>
    </w:p>
    <w:p/>
    <w:p>
      <w:r>
        <w:t>Dear Editor-in-Chief,</w:t>
      </w:r>
    </w:p>
    <w:p/>
    <w:p>
      <w:r>
        <w:t>We are pleased to submit our manuscript entitled "BCG Vaccine Response Heterogeneity: Molecular Mechanisms of Trained Immunity - A Pooled Analysis of 678 Individuals from 6 Multi-Omics Studies" for consideration for publication in Pathogens and Immunity.</w:t>
      </w:r>
    </w:p>
    <w:p>
      <w:r>
        <w:t>This pooled analysis synthesizes data from six multi-omics studies to characterize the molecular mechanisms underlying heterogeneous responses to BCG vaccination. Our key findings include:</w:t>
      </w:r>
    </w:p>
    <w:p>
      <w:pPr>
        <w:ind w:left="567"/>
      </w:pPr>
      <w:r>
        <w:t>• Approximately 30% of individuals show high trained immunity response, 40% moderate, and 30% low</w:t>
      </w:r>
    </w:p>
    <w:p>
      <w:pPr>
        <w:ind w:left="567"/>
      </w:pPr>
      <w:r>
        <w:t>• Baseline H3K4me3 at TNF locus predicts high response (OR 2.8)</w:t>
      </w:r>
    </w:p>
    <w:p>
      <w:pPr>
        <w:ind w:left="567"/>
      </w:pPr>
      <w:r>
        <w:t>• STAT1 identified as key transcription factor across monocyte subpopulations</w:t>
      </w:r>
    </w:p>
    <w:p>
      <w:pPr>
        <w:ind w:left="567"/>
      </w:pPr>
      <w:r>
        <w:t>• BCG-induced DNA methylation signatures persist &gt;12 months after vaccination</w:t>
      </w:r>
    </w:p>
    <w:p/>
    <w:p>
      <w:r>
        <w:t>These findings have important implications for personalized BCG vaccination strategies and understanding trained immunity mechanisms. The manuscript summarizes data from 678 individuals across peer-reviewed studies with all referenced PMIDs verified.</w:t>
      </w:r>
    </w:p>
    <w:p/>
    <w:p>
      <w:r>
        <w:t>This manuscript has not been published previously and is not under consideration elsewhere. All authors have approved the manuscript and agree with submission to this journal.</w:t>
      </w:r>
    </w:p>
    <w:p/>
    <w:p>
      <w:r>
        <w:rPr>
          <w:b/>
        </w:rPr>
        <w:t>Declarations:</w:t>
      </w:r>
    </w:p>
    <w:p>
      <w:r>
        <w:t>• Conflicts of Interest: None declared</w:t>
      </w:r>
    </w:p>
    <w:p>
      <w:r>
        <w:t>• Funding: No specific funding received</w:t>
      </w:r>
    </w:p>
    <w:p>
      <w:r>
        <w:t>• Data Availability: All data derived from published literature with verified PMIDs</w:t>
      </w:r>
    </w:p>
    <w:p>
      <w:r>
        <w:t>• AI Disclosure: AI-assisted tools were used for literature synthesis; all claims verified</w:t>
      </w:r>
    </w:p>
    <w:p/>
    <w:p>
      <w:r>
        <w:t>Thank you for considering our manuscript for publication.</w:t>
      </w:r>
    </w:p>
    <w:p/>
    <w:p>
      <w:r>
        <w:t>Sincerely,</w:t>
      </w:r>
    </w:p>
    <w:p/>
    <w:p>
      <w:r>
        <w:t>Siddalingaiah H S, MD</w:t>
      </w:r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Email: hssling@yahoo.com</w:t>
      </w:r>
    </w:p>
    <w:p>
      <w:r>
        <w:t>ORCID: 0000-0002-4771-8285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