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January 11, 2026</w:t>
      </w:r>
    </w:p>
    <w:p>
      <w:r>
        <w:t>Editorial Office</w:t>
        <w:br/>
        <w:t>Pathogens &amp; Immunity</w:t>
        <w:br/>
      </w:r>
    </w:p>
    <w:p>
      <w:r>
        <w:t>RE: Submission of Original Meta-Analysis Research entitled "Molecular Determinants of BCG Vaccine Response Heterogeneity: A Systematic Review and Meta-Analysis of Multi-Omics Data"</w:t>
      </w:r>
    </w:p>
    <w:p>
      <w:r>
        <w:t>Dear Editor-in-Chief,</w:t>
      </w:r>
    </w:p>
    <w:p>
      <w:r>
        <w:t>We are pleased to submit our Original Meta-Analysis for consideration in Pathogens &amp; Immunity. While we understand the journal typically solicits narrative reviews, we present here a quantitative Original Research study utilizing secondary data analysis methods (PRISMA guidelines). The Bacillus Calmette-Guérin (BCG) vaccine is the most widely used vaccine globally, yet its efficacy varies dramatically (0-80%).</w:t>
      </w:r>
    </w:p>
    <w:p>
      <w:r>
        <w:t>In this study, we systematically synthesized multi-omics data from six major studies (published 2012-2024), comprising a total of 662 individuals. By integrating findings from single-cell RNA sequencing, DNA methylation profiling, and histone modification mapping, we identified robust molecular predictors of vaccine response.</w:t>
      </w:r>
    </w:p>
    <w:p>
      <w:r>
        <w:t>Key findings include:</w:t>
      </w:r>
    </w:p>
    <w:p>
      <w:pPr>
        <w:pStyle w:val="ListBullet"/>
      </w:pPr>
      <w:r>
        <w:rPr>
          <w:b/>
        </w:rPr>
        <w:t xml:space="preserve">Trimodal Response Distribution: </w:t>
      </w:r>
      <w:r>
        <w:t>We confirmed a consistent phenotype where ~30% of individuals are high responders, driven by baseline epigenetic states.</w:t>
      </w:r>
    </w:p>
    <w:p>
      <w:pPr>
        <w:pStyle w:val="ListBullet"/>
      </w:pPr>
      <w:r>
        <w:rPr>
          <w:b/>
        </w:rPr>
        <w:t xml:space="preserve">Epigenetic Priming: </w:t>
      </w:r>
      <w:r>
        <w:t>Consolidated evidence shows that baseline H3K4me3 enrichment at inflammatory promoters (OR 2.8) is the strongest predictor of trained immunity induction.</w:t>
      </w:r>
    </w:p>
    <w:p>
      <w:pPr>
        <w:pStyle w:val="ListBullet"/>
      </w:pPr>
      <w:r>
        <w:rPr>
          <w:b/>
        </w:rPr>
        <w:t xml:space="preserve">Long-term Persistence: </w:t>
      </w:r>
      <w:r>
        <w:t>Our review confirms that BCG-induced DNA methylation signatures persist in monocytes for over 12 months (Bannister et al., 2022).</w:t>
      </w:r>
    </w:p>
    <w:p>
      <w:r>
        <w:t>This manuscript provides the first quantitative synthesis of these disparate multi-omics datasets, creating a unified framework for understanding vaccine response heterogeneity. We believe this work will be of broad interest to immunologists, vaccinologists, and clinicians seeking to optimize BCG usage.</w:t>
      </w:r>
    </w:p>
    <w:p>
      <w:r>
        <w:t>We confirm that this manuscript is original, has not been published elsewhere, and is not under consideration by another journal. The author declares no conflicts of interest.</w:t>
      </w:r>
    </w:p>
    <w:p>
      <w:r>
        <w:t>Thank you for your consideration.</w:t>
      </w:r>
    </w:p>
    <w:p>
      <w:r>
        <w:t>Sincerely,</w:t>
        <w:br/>
        <w:br/>
        <w:t>Siddalingaiah H S, MD</w:t>
        <w:br/>
        <w:t>Professor, Department of Community Medicine</w:t>
        <w:br/>
        <w:t>Shridevi Institute of Medical Sciences</w:t>
        <w:br/>
        <w:t>Tumkur, Karnataka, India</w:t>
        <w:br/>
        <w:t>Email: hssling@yahoo.com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