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/>
    <w:p>
      <w:r>
        <w:t>• Pooled analysis of 678 individuals from 6 multi-omics BCG vaccination studies</w:t>
      </w:r>
    </w:p>
    <w:p>
      <w:r>
        <w:t>• ~30% show high trained immunity, 40% moderate, 30% minimal response</w:t>
      </w:r>
    </w:p>
    <w:p>
      <w:r>
        <w:t>• Baseline H3K4me3 at inflammatory loci predicts vaccine response (OR 2.8)</w:t>
      </w:r>
    </w:p>
    <w:p>
      <w:r>
        <w:t>• STAT1 identified as key transcription factor shared across monocyte subpopulations</w:t>
      </w:r>
    </w:p>
    <w:p>
      <w:r>
        <w:t>• BCG-induced epigenetic changes persist &gt;12 months through hematopoietic reprogramming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