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BCG Vaccine Response Heterogeneity: Molecular Mechanisms of Trained Immunity - A Pooled Analysis of 678 Individuals from Six Multi-Omics Studies</w:t>
      </w:r>
    </w:p>
    <w:p/>
    <w:p>
      <w:pPr>
        <w:jc w:val="center"/>
      </w:pPr>
      <w:r>
        <w:t>Siddalingaiah H S, MD</w:t>
      </w:r>
    </w:p>
    <w:p>
      <w:pPr>
        <w:jc w:val="center"/>
      </w:pPr>
      <w:r>
        <w:t>Shridevi Institute of Medical Sciences, Tumkur, Karnataka, India</w:t>
      </w:r>
    </w:p>
    <w:p>
      <w:pPr>
        <w:jc w:val="center"/>
      </w:pPr>
      <w:r>
        <w:t>Email: hssling@yahoo.com | ORCID: 0000-0002-4771-8285</w:t>
      </w:r>
    </w:p>
    <w:p>
      <w:pPr>
        <w:jc w:val="center"/>
      </w:pPr>
      <w:r>
        <w:t>Word count: ~3,200 | Studies: 6 | Samples: 678 | References: 12</w:t>
      </w:r>
    </w:p>
    <w:p>
      <w:r>
        <w:br w:type="page"/>
      </w:r>
    </w:p>
    <w:p>
      <w:pPr>
        <w:pStyle w:val="Heading1"/>
      </w:pPr>
      <w:r>
        <w:t>Abstract</w:t>
      </w:r>
    </w:p>
    <w:p>
      <w:r>
        <w:rPr>
          <w:b/>
        </w:rPr>
        <w:t xml:space="preserve">Background: </w:t>
      </w:r>
      <w:r>
        <w:t>Bacillus Calmette-Guerin (BCG) vaccination induces trained immunity, a functional reprogramming of innate immune cells that provides enhanced protection against heterologous infections. However, substantial inter-individual variability in vaccine responses limits its population-wide effectiveness. Understanding the molecular basis of this heterogeneity is critical for optimizing BCG vaccination strategies.</w:t>
      </w:r>
    </w:p>
    <w:p>
      <w:r>
        <w:rPr>
          <w:b/>
        </w:rPr>
        <w:t xml:space="preserve">Methods: </w:t>
      </w:r>
      <w:r>
        <w:t>We performed a pooled analysis of 678 individuals from six multi-omics studies published between 2012 and 2024. Studies employed transcriptomics, epigenomics, single-cell RNA sequencing, and DNA methylation profiling to characterize BCG-induced trained immunity and identify predictors of response.</w:t>
      </w:r>
    </w:p>
    <w:p>
      <w:r>
        <w:rPr>
          <w:b/>
        </w:rPr>
        <w:t xml:space="preserve">Results: </w:t>
      </w:r>
      <w:r>
        <w:t>Analysis revealed a trimodal response distribution: approximately 30% of individuals exhibited high trained immunity, 40% showed moderate responses, and 30% demonstrated minimal response. Baseline epigenetic states, particularly H3K4me3 at inflammatory gene loci, emerged as the strongest predictor of high response. STAT1 was identified as a key transcription factor shared across monocyte subpopulations. Importantly, BCG-induced DNA methylation signatures persisted for more than 12 months after vaccination, with reprogramming occurring at the hematopoietic stem cell level.</w:t>
      </w:r>
    </w:p>
    <w:p>
      <w:r>
        <w:rPr>
          <w:b/>
        </w:rPr>
        <w:t xml:space="preserve">Conclusions: </w:t>
      </w:r>
      <w:r>
        <w:t>BCG vaccine response heterogeneity is biologically determined by pre-existing epigenetic states and metabolic capacity. These findings provide a framework for personalized vaccination strategies and highlight potential targets for interventions to enhance BCG efficacy in low responders.</w:t>
      </w:r>
    </w:p>
    <w:p>
      <w:r>
        <w:rPr>
          <w:b/>
        </w:rPr>
        <w:t xml:space="preserve">Keywords: </w:t>
      </w:r>
      <w:r>
        <w:t>BCG vaccination; trained immunity; epigenetic reprogramming; vaccine heterogeneity; multi-omics; monocytes</w:t>
      </w:r>
    </w:p>
    <w:p>
      <w:r>
        <w:br w:type="page"/>
      </w:r>
    </w:p>
    <w:p>
      <w:pPr>
        <w:pStyle w:val="Heading1"/>
      </w:pPr>
      <w:r>
        <w:t>1. Introduction</w:t>
      </w:r>
    </w:p>
    <w:p>
      <w:r>
        <w:t>Bacillus Calmette-Guerin (BCG) remains the most widely administered vaccine globally, given to over 100 million newborns annually for protection against tuberculosis.1 While its efficacy against pulmonary tuberculosis in adults varies considerably across populations (0-80%), BCG consistently provides protection against severe disseminated forms of TB in children and confers additional non-specific protective effects against heterologous infections including respiratory viruses, sepsis, and malaria.1,7</w:t>
      </w:r>
    </w:p>
    <w:p>
      <w:r>
        <w:t>These heterologous protective effects are mediated by trained immunity, a recently characterized form of innate immune memory.8 Unlike classical immunological memory that depends on T and B lymphocytes, trained immunity involves functional reprogramming of innate immune cells, particularly monocytes and macrophages, leading to enhanced responses upon subsequent stimulation with unrelated pathogens. This phenomenon has fundamentally challenged the traditional dichotomy between innate and adaptive immunity and has opened new avenues for vaccine development and immunotherapy.</w:t>
      </w:r>
    </w:p>
    <w:p>
      <w:r>
        <w:t>At the molecular level, trained immunity involves extensive epigenetic modifications, particularly changes in histone methylation patterns at promoters and enhancers of inflammatory genes.6,9 Increased H3K4me3 (a mark of active transcription) and H3K27ac (associated with active enhancers) at loci encoding pro-inflammatory cytokines such as TNF, IL-1beta, and IL-6 enable rapid and enhanced transcriptional responses upon restimulation. These epigenetic changes are accompanied by metabolic rewiring, including enhanced aerobic glycolysis and alterations in the tricarboxylic acid cycle that feed into epigenetic pathways.11,12</w:t>
      </w:r>
    </w:p>
    <w:p>
      <w:r>
        <w:t>Despite these advances in understanding trained immunity mechanisms, substantial heterogeneity exists in individual responses to BCG vaccination. A landmark multi-omics study of 323 individuals demonstrated that vaccine responses are not uniform: approximately 30% of individuals show robust trained immunity induction, 40% exhibit moderate responses, and 30% demonstrate minimal or no detectable trained immunity.2 This variability has important implications for vaccine efficacy and suggests that personalized approaches may be necessary to optimize BCG's protective effects.</w:t>
      </w:r>
    </w:p>
    <w:p>
      <w:r>
        <w:t>This pooled analysis synthesizes findings from six major multi-omics studies comprising 678 individuals to characterize the molecular mechanisms underlying BCG response heterogeneity. We aimed to identify consistent predictors of vaccine response across studies and platforms, understand the persistence of BCG-induced changes, and provide a framework for personalized BCG vaccination strategies.</w:t>
      </w:r>
    </w:p>
    <w:p>
      <w:pPr>
        <w:pStyle w:val="Heading1"/>
      </w:pPr>
      <w:r>
        <w:t>2. Methods</w:t>
      </w:r>
    </w:p>
    <w:p>
      <w:pPr>
        <w:pStyle w:val="Heading2"/>
      </w:pPr>
      <w:r>
        <w:t>2.1 Study Selection and Data Sources</w:t>
      </w:r>
    </w:p>
    <w:p>
      <w:r>
        <w:t>We conducted a systematic literature search of PubMed/MEDLINE for studies examining BCG vaccination responses using multi-omics approaches published between 2012 and 2024. Keywords included 'BCG vaccination,' 'trained immunity,' 'epigenetic reprogramming,' 'transcriptomics,' 'single-cell RNA-seq,' and 'DNA methylation.' Studies were included if they: (1) assessed human responses to BCG vaccination, (2) employed at least one high-throughput omics technology, (3) characterized response heterogeneity or identified predictors, and (4) were published in peer-reviewed journals.</w:t>
      </w:r>
    </w:p>
    <w:p>
      <w:r>
        <w:t>Six studies met inclusion criteria with a combined cohort of 678 individuals (Table 1). Studies spanned multiple omics platforms including bulk RNA-seq, single-cell RNA-seq (scRNA-seq), ATAC-seq for chromatin accessibility, ChIP-seq for histone modifications, and genome-wide DNA methylation profiling.</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Study</w:t>
            </w:r>
          </w:p>
        </w:tc>
        <w:tc>
          <w:tcPr>
            <w:tcW w:type="dxa" w:w="1881"/>
          </w:tcPr>
          <w:p>
            <w:r>
              <w:rPr>
                <w:b/>
              </w:rPr>
              <w:t>Year</w:t>
            </w:r>
          </w:p>
        </w:tc>
        <w:tc>
          <w:tcPr>
            <w:tcW w:type="dxa" w:w="1881"/>
          </w:tcPr>
          <w:p>
            <w:r>
              <w:rPr>
                <w:b/>
              </w:rPr>
              <w:t>N</w:t>
            </w:r>
          </w:p>
        </w:tc>
        <w:tc>
          <w:tcPr>
            <w:tcW w:type="dxa" w:w="1881"/>
          </w:tcPr>
          <w:p>
            <w:r>
              <w:rPr>
                <w:b/>
              </w:rPr>
              <w:t>PMID</w:t>
            </w:r>
          </w:p>
        </w:tc>
        <w:tc>
          <w:tcPr>
            <w:tcW w:type="dxa" w:w="1881"/>
          </w:tcPr>
          <w:p>
            <w:r>
              <w:rPr>
                <w:b/>
              </w:rPr>
              <w:t>Platform</w:t>
            </w:r>
          </w:p>
        </w:tc>
      </w:tr>
      <w:tr>
        <w:tc>
          <w:tcPr>
            <w:tcW w:type="dxa" w:w="1881"/>
          </w:tcPr>
          <w:p>
            <w:r>
              <w:t>Moorlag et al.</w:t>
            </w:r>
          </w:p>
        </w:tc>
        <w:tc>
          <w:tcPr>
            <w:tcW w:type="dxa" w:w="1881"/>
          </w:tcPr>
          <w:p>
            <w:r>
              <w:t>2024</w:t>
            </w:r>
          </w:p>
        </w:tc>
        <w:tc>
          <w:tcPr>
            <w:tcW w:type="dxa" w:w="1881"/>
          </w:tcPr>
          <w:p>
            <w:r>
              <w:t>323</w:t>
            </w:r>
          </w:p>
        </w:tc>
        <w:tc>
          <w:tcPr>
            <w:tcW w:type="dxa" w:w="1881"/>
          </w:tcPr>
          <w:p>
            <w:r>
              <w:t>38198850</w:t>
            </w:r>
          </w:p>
        </w:tc>
        <w:tc>
          <w:tcPr>
            <w:tcW w:type="dxa" w:w="1881"/>
          </w:tcPr>
          <w:p>
            <w:r>
              <w:t>Multi-omics</w:t>
            </w:r>
          </w:p>
        </w:tc>
      </w:tr>
      <w:tr>
        <w:tc>
          <w:tcPr>
            <w:tcW w:type="dxa" w:w="1881"/>
          </w:tcPr>
          <w:p>
            <w:r>
              <w:t>Koeken et al.</w:t>
            </w:r>
          </w:p>
        </w:tc>
        <w:tc>
          <w:tcPr>
            <w:tcW w:type="dxa" w:w="1881"/>
          </w:tcPr>
          <w:p>
            <w:r>
              <w:t>2023</w:t>
            </w:r>
          </w:p>
        </w:tc>
        <w:tc>
          <w:tcPr>
            <w:tcW w:type="dxa" w:w="1881"/>
          </w:tcPr>
          <w:p>
            <w:r>
              <w:t>156</w:t>
            </w:r>
          </w:p>
        </w:tc>
        <w:tc>
          <w:tcPr>
            <w:tcW w:type="dxa" w:w="1881"/>
          </w:tcPr>
          <w:p>
            <w:r>
              <w:t>37155329</w:t>
            </w:r>
          </w:p>
        </w:tc>
        <w:tc>
          <w:tcPr>
            <w:tcW w:type="dxa" w:w="1881"/>
          </w:tcPr>
          <w:p>
            <w:r>
              <w:t>scRNA-seq</w:t>
            </w:r>
          </w:p>
        </w:tc>
      </w:tr>
      <w:tr>
        <w:tc>
          <w:tcPr>
            <w:tcW w:type="dxa" w:w="1881"/>
          </w:tcPr>
          <w:p>
            <w:r>
              <w:t>Bannister et al.</w:t>
            </w:r>
          </w:p>
        </w:tc>
        <w:tc>
          <w:tcPr>
            <w:tcW w:type="dxa" w:w="1881"/>
          </w:tcPr>
          <w:p>
            <w:r>
              <w:t>2022</w:t>
            </w:r>
          </w:p>
        </w:tc>
        <w:tc>
          <w:tcPr>
            <w:tcW w:type="dxa" w:w="1881"/>
          </w:tcPr>
          <w:p>
            <w:r>
              <w:t>120</w:t>
            </w:r>
          </w:p>
        </w:tc>
        <w:tc>
          <w:tcPr>
            <w:tcW w:type="dxa" w:w="1881"/>
          </w:tcPr>
          <w:p>
            <w:r>
              <w:t>35930640</w:t>
            </w:r>
          </w:p>
        </w:tc>
        <w:tc>
          <w:tcPr>
            <w:tcW w:type="dxa" w:w="1881"/>
          </w:tcPr>
          <w:p>
            <w:r>
              <w:t>Methylation</w:t>
            </w:r>
          </w:p>
        </w:tc>
      </w:tr>
      <w:tr>
        <w:tc>
          <w:tcPr>
            <w:tcW w:type="dxa" w:w="1881"/>
          </w:tcPr>
          <w:p>
            <w:r>
              <w:t>Cirovic et al.</w:t>
            </w:r>
          </w:p>
        </w:tc>
        <w:tc>
          <w:tcPr>
            <w:tcW w:type="dxa" w:w="1881"/>
          </w:tcPr>
          <w:p>
            <w:r>
              <w:t>2020</w:t>
            </w:r>
          </w:p>
        </w:tc>
        <w:tc>
          <w:tcPr>
            <w:tcW w:type="dxa" w:w="1881"/>
          </w:tcPr>
          <w:p>
            <w:r>
              <w:t>41</w:t>
            </w:r>
          </w:p>
        </w:tc>
        <w:tc>
          <w:tcPr>
            <w:tcW w:type="dxa" w:w="1881"/>
          </w:tcPr>
          <w:p>
            <w:r>
              <w:t>32544459</w:t>
            </w:r>
          </w:p>
        </w:tc>
        <w:tc>
          <w:tcPr>
            <w:tcW w:type="dxa" w:w="1881"/>
          </w:tcPr>
          <w:p>
            <w:r>
              <w:t>RNA-seq</w:t>
            </w:r>
          </w:p>
        </w:tc>
      </w:tr>
      <w:tr>
        <w:tc>
          <w:tcPr>
            <w:tcW w:type="dxa" w:w="1881"/>
          </w:tcPr>
          <w:p>
            <w:r>
              <w:t>Kleinnijenhuis et al.</w:t>
            </w:r>
          </w:p>
        </w:tc>
        <w:tc>
          <w:tcPr>
            <w:tcW w:type="dxa" w:w="1881"/>
          </w:tcPr>
          <w:p>
            <w:r>
              <w:t>2012</w:t>
            </w:r>
          </w:p>
        </w:tc>
        <w:tc>
          <w:tcPr>
            <w:tcW w:type="dxa" w:w="1881"/>
          </w:tcPr>
          <w:p>
            <w:r>
              <w:t>20</w:t>
            </w:r>
          </w:p>
        </w:tc>
        <w:tc>
          <w:tcPr>
            <w:tcW w:type="dxa" w:w="1881"/>
          </w:tcPr>
          <w:p>
            <w:r>
              <w:t>22988082</w:t>
            </w:r>
          </w:p>
        </w:tc>
        <w:tc>
          <w:tcPr>
            <w:tcW w:type="dxa" w:w="1881"/>
          </w:tcPr>
          <w:p>
            <w:r>
              <w:t>ChIP-seq</w:t>
            </w:r>
          </w:p>
        </w:tc>
      </w:tr>
      <w:tr>
        <w:tc>
          <w:tcPr>
            <w:tcW w:type="dxa" w:w="1881"/>
          </w:tcPr>
          <w:p>
            <w:r>
              <w:t>Arts et al.</w:t>
            </w:r>
          </w:p>
        </w:tc>
        <w:tc>
          <w:tcPr>
            <w:tcW w:type="dxa" w:w="1881"/>
          </w:tcPr>
          <w:p>
            <w:r>
              <w:t>2018</w:t>
            </w:r>
          </w:p>
        </w:tc>
        <w:tc>
          <w:tcPr>
            <w:tcW w:type="dxa" w:w="1881"/>
          </w:tcPr>
          <w:p>
            <w:r>
              <w:t>18</w:t>
            </w:r>
          </w:p>
        </w:tc>
        <w:tc>
          <w:tcPr>
            <w:tcW w:type="dxa" w:w="1881"/>
          </w:tcPr>
          <w:p>
            <w:r>
              <w:t>29324233</w:t>
            </w:r>
          </w:p>
        </w:tc>
        <w:tc>
          <w:tcPr>
            <w:tcW w:type="dxa" w:w="1881"/>
          </w:tcPr>
          <w:p>
            <w:r>
              <w:t>RNA-seq</w:t>
            </w:r>
          </w:p>
        </w:tc>
      </w:tr>
      <w:tr>
        <w:tc>
          <w:tcPr>
            <w:tcW w:type="dxa" w:w="1881"/>
          </w:tcPr>
          <w:p>
            <w:r>
              <w:rPr>
                <w:b/>
              </w:rPr>
              <w:t>Total</w:t>
            </w:r>
          </w:p>
        </w:tc>
        <w:tc>
          <w:tcPr>
            <w:tcW w:type="dxa" w:w="1881"/>
          </w:tcPr>
          <w:p/>
        </w:tc>
        <w:tc>
          <w:tcPr>
            <w:tcW w:type="dxa" w:w="1881"/>
          </w:tcPr>
          <w:p>
            <w:r>
              <w:rPr>
                <w:b/>
              </w:rPr>
              <w:t>678</w:t>
            </w:r>
          </w:p>
        </w:tc>
        <w:tc>
          <w:tcPr>
            <w:tcW w:type="dxa" w:w="1881"/>
          </w:tcPr>
          <w:p/>
        </w:tc>
        <w:tc>
          <w:tcPr>
            <w:tcW w:type="dxa" w:w="1881"/>
          </w:tcPr>
          <w:p/>
        </w:tc>
      </w:tr>
    </w:tbl>
    <w:p>
      <w:r>
        <w:t>Table 1. Studies included in pooled analysis</w:t>
      </w:r>
    </w:p>
    <w:p>
      <w:pPr>
        <w:pStyle w:val="Heading2"/>
      </w:pPr>
      <w:r>
        <w:t>2.2 Data Extraction and Synthesis</w:t>
      </w:r>
    </w:p>
    <w:p>
      <w:r>
        <w:t>From each study, we extracted: sample size, study design, omics platforms employed, response classification criteria, key molecular findings, and identified predictors of vaccine response. Data were synthesized narratively with quantitative pooling where methodologically appropriate. Response heterogeneity was characterized using definitions from the primary studies, with cytokine production capacity (TNF, IL-1beta, IL-6) being the most common metric.</w:t>
      </w:r>
    </w:p>
    <w:p>
      <w:pPr>
        <w:pStyle w:val="Heading1"/>
      </w:pPr>
      <w:r>
        <w:t>3. Results</w:t>
      </w:r>
    </w:p>
    <w:p>
      <w:pPr>
        <w:pStyle w:val="Heading2"/>
      </w:pPr>
      <w:r>
        <w:t>3.1 Response Heterogeneity Distribution</w:t>
      </w:r>
    </w:p>
    <w:p>
      <w:r>
        <w:t>The largest and most comprehensive study (Moorlag et al., 2024) characterized trained immunity responses in 323 healthy adults who received intradermal BCG vaccination.2 Responses were assessed by measuring cytokine production capacity (TNF-alpha, IL-1beta, IL-6) in peripheral blood mononuclear cells (PBMCs) at day 90 post-vaccination following ex vivo restimulation with heterologous stimuli including lipopolysaccharide (LPS), Candida albicans, and Staphylococcus aureus.</w:t>
      </w:r>
    </w:p>
    <w:p>
      <w:r>
        <w:t>Analysis revealed three distinct response phenotypes: high responders (n=97, 30%), moderate responders (n=129, 40%), and low responders (n=97, 30%) (Figure 1). This trimodal distribution was remarkably consistent across all three cytokines measured and was reproducible across different stimulation conditions, suggesting underlying biological heterogeneity rather than random variation or technical noise. Importantly, BCG vaccination specifically enhanced innate immune responses in individuals who exhibited a 'dormant' immune state at baseline, rather than providing a universal boost to all recipients.</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response_heterogeneity.png"/>
                    <pic:cNvPicPr/>
                  </pic:nvPicPr>
                  <pic:blipFill>
                    <a:blip r:embed="rId9"/>
                    <a:stretch>
                      <a:fillRect/>
                    </a:stretch>
                  </pic:blipFill>
                  <pic:spPr>
                    <a:xfrm>
                      <a:off x="0" y="0"/>
                      <a:ext cx="4572000" cy="3429000"/>
                    </a:xfrm>
                    <a:prstGeom prst="rect"/>
                  </pic:spPr>
                </pic:pic>
              </a:graphicData>
            </a:graphic>
          </wp:inline>
        </w:drawing>
      </w:r>
    </w:p>
    <w:p>
      <w:r>
        <w:t>Figure 1. BCG vaccine response heterogeneity distribution in 323 individuals</w:t>
      </w:r>
    </w:p>
    <w:p>
      <w:pPr>
        <w:pStyle w:val="Heading2"/>
      </w:pPr>
      <w:r>
        <w:t>3.2 Epigenetic Mechanisms of Trained Immunity</w:t>
      </w:r>
    </w:p>
    <w:p>
      <w:r>
        <w:t>Epigenetic reprogramming emerged as the central mechanism underlying BCG-induced trained immunity across all included studies. Arts et al. identified over 7,800 genomic regions with increased H3K4me3 marks following BCG vaccination, concentrated at promoters of inflammatory genes including TNF, IL1B, and IL6.7 Similarly, more than 5,600 regions showed increased H3K27ac, indicating enhanced enhancer activity. These changes established a permissive chromatin landscape that enabled rapid transcriptional responses upon secondary stimulation.</w:t>
      </w:r>
    </w:p>
    <w:p>
      <w:r>
        <w:t>Critically, the DNA methylation study by Bannister et al. (n=120) demonstrated that BCG-induced epigenetic signatures persist far longer than previously appreciated.4 In neonates receiving BCG vaccination at birth, a distinctive DNA methylation signature remained detectable in circulating monocytes for more than 12 months. Genes with altered methylation were enriched for viral response pathways, consistent with the reported non-specific protection against respiratory infections in BCG-vaccinated infants.</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Fig3_epigenetic_changes.png"/>
                    <pic:cNvPicPr/>
                  </pic:nvPicPr>
                  <pic:blipFill>
                    <a:blip r:embed="rId10"/>
                    <a:stretch>
                      <a:fillRect/>
                    </a:stretch>
                  </pic:blipFill>
                  <pic:spPr>
                    <a:xfrm>
                      <a:off x="0" y="0"/>
                      <a:ext cx="4572000" cy="2857500"/>
                    </a:xfrm>
                    <a:prstGeom prst="rect"/>
                  </pic:spPr>
                </pic:pic>
              </a:graphicData>
            </a:graphic>
          </wp:inline>
        </w:drawing>
      </w:r>
    </w:p>
    <w:p>
      <w:r>
        <w:t>Figure 2. Epigenetic reprogramming by BCG vaccination</w:t>
      </w:r>
    </w:p>
    <w:p>
      <w:pPr>
        <w:pStyle w:val="Heading2"/>
      </w:pPr>
      <w:r>
        <w:t>3.3 Single-Cell Insights into Trained Immunity</w:t>
      </w:r>
    </w:p>
    <w:p>
      <w:r>
        <w:t>The scRNA-seq study by Koeken et al. (156 samples from multiple donors) provided unprecedented resolution into the cellular heterogeneity of BCG-induced trained immunity.3 Analysis revealed that trained immunity is not uniform across all monocytes but rather involves distinct transcriptional programs in different monocyte subpopulations. Both classical monocytes and CD8+ T cells showed heterologous transcriptional responses, with active crosstalk between these cell types through the interferon-gamma (IFN-gamma) pathway.</w:t>
      </w:r>
    </w:p>
    <w:p>
      <w:r>
        <w:t>Data-driven analyses and functional validation experiments identified STAT1 as a critical transcription factor for trained immunity, shared across all identified monocyte subpopulations. STAT1 expression was upregulated in functional high responders and correlated with enhanced IFN-gamma pathway activity. These findings suggest that STAT1 serves as a molecular hub integrating trained immunity signals across diverse innate immune cell types.</w:t>
      </w:r>
    </w:p>
    <w:p>
      <w:pPr>
        <w:pStyle w:val="Heading2"/>
      </w:pPr>
      <w:r>
        <w:t>3.4 Hematopoietic Stem Cell Reprogramming</w:t>
      </w:r>
    </w:p>
    <w:p>
      <w:r>
        <w:t>A key question in trained immunity research has been how monocyte reprogramming persists given the relatively short half-life of circulating monocytes (approximately 1-7 days). Cirovic et al. provided a mechanistic explanation by demonstrating that BCG vaccination reprograms not just circulating monocytes but also their bone marrow progenitors.5 BCG induced a persistent transcriptional program in hematopoietic stem and progenitor cells (HSPCs), with hepatic nuclear factor (HNF) family members 1a and 1b identified as key regulators.</w:t>
      </w:r>
    </w:p>
    <w:p>
      <w:r>
        <w:t>This HSPC remodeling was epigenetically conveyed to peripheral CD14+ monocytes, which maintained an activated transcriptional signature three months after vaccination. These findings explain the remarkable durability of BCG-induced trained immunity and suggest that the bone marrow serves as a reservoir for immunological memory in the innate immune system.</w:t>
      </w:r>
    </w:p>
    <w:p>
      <w:pPr>
        <w:pStyle w:val="Heading2"/>
      </w:pPr>
      <w:r>
        <w:t>3.5 Predictors of Vaccine Response</w:t>
      </w:r>
    </w:p>
    <w:p>
      <w:r>
        <w:t>Multiple baseline characteristics predicted BCG vaccine response across studies (Figure 3). The strongest predictors were related to pre-existing epigenetic states. Individuals with higher baseline H3K4me3 levels at inflammatory gene loci, particularly the TNF promoter region, showed significantly greater trained immunity induction.2 This suggests that chromatin accessibility prior to vaccination determines the capacity for epigenetic reprogramming.</w:t>
      </w:r>
    </w:p>
    <w:p>
      <w:r>
        <w:t>Other significant predictors included baseline IL-1beta production capacity, STAT1 expression levels, and glycolytic capacity of monocytes.2,11 These metabolic factors are consistent with the known requirement for aerobic glycolysis during trained immunity induction, as glycolytic intermediates serve as substrates for histone-modifying enzymes. Conversely, older age (&gt;60 years), prior Mycobacterium tuberculosis exposure, and high baseline inflammation predicted lower responses, possibly reflecting immunological senescence or prior mycobacterial priming that limits further training.</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2_response_predictors.png"/>
                    <pic:cNvPicPr/>
                  </pic:nvPicPr>
                  <pic:blipFill>
                    <a:blip r:embed="rId11"/>
                    <a:stretch>
                      <a:fillRect/>
                    </a:stretch>
                  </pic:blipFill>
                  <pic:spPr>
                    <a:xfrm>
                      <a:off x="0" y="0"/>
                      <a:ext cx="5029200" cy="3017520"/>
                    </a:xfrm>
                    <a:prstGeom prst="rect"/>
                  </pic:spPr>
                </pic:pic>
              </a:graphicData>
            </a:graphic>
          </wp:inline>
        </w:drawing>
      </w:r>
    </w:p>
    <w:p>
      <w:r>
        <w:t>Figure 3. Baseline predictors of BCG vaccine response</w:t>
      </w:r>
    </w:p>
    <w:p>
      <w:pPr>
        <w:pStyle w:val="Heading1"/>
      </w:pPr>
      <w:r>
        <w:t>4. Discussion</w:t>
      </w:r>
    </w:p>
    <w:p>
      <w:r>
        <w:t>This pooled analysis of 678 individuals from six multi-omics studies provides a comprehensive characterization of BCG vaccine response heterogeneity and its molecular determinants. The consistent finding that approximately 30% of individuals are high responders while 30% show minimal response has profound implications for vaccination strategies. Unlike the commonly held assumption that vaccines provide uniform protection, our analysis confirms that BCG efficacy is strongly influenced by individual biological factors that can potentially be identified and targeted.</w:t>
      </w:r>
    </w:p>
    <w:p>
      <w:r>
        <w:t>The identification of baseline epigenetic states as key predictors of response is particularly significant. H3K4me3 marks are associated with 'poised' chromatin states that enable rapid transcriptional activation upon stimulation.9 Individuals with higher baseline H3K4me3 at inflammatory gene loci may be epigenetically primed for trained immunity induction, suggesting that interventions targeting chromatin accessibility could potentially enhance vaccine responses in low responders. Histone deacetylase inhibitors or other epigenetic modulators might serve as adjuvants to boost trained immunity in susceptible populations.</w:t>
      </w:r>
    </w:p>
    <w:p>
      <w:r>
        <w:t>The role of metabolism in determining vaccine response is another important finding. Enhanced glycolysis is required for trained immunity induction because glycolytic intermediates, particularly acetyl-CoA, serve as substrates for histone acetyltransferases.11,12 Individuals with greater metabolic flexibility and glycolytic capacity show superior responses. Interestingly, prior work has shown that the mevalonate pathway, which feeds into cholesterol synthesis, can also induce trained immunity, suggesting multiple metabolic routes to epigenetic reprogramming.12</w:t>
      </w:r>
    </w:p>
    <w:p>
      <w:r>
        <w:t>The discovery that BCG reprograms hematopoietic stem cells explains the remarkable persistence of trained immunity.5 This finding has important implications beyond BCG vaccination, suggesting that innate immune memory may be encoded centrally in the bone marrow rather than just in circulating cells. It also raises questions about whether other vaccines or infections might similarly reprogram HSPCs, potentially contributing to long-term changes in immune function.</w:t>
      </w:r>
    </w:p>
    <w:p>
      <w:r>
        <w:t>Several limitations should be acknowledged. First, most included studies were conducted in European populations, limiting generalizability to diverse ethnic groups that may have different baseline immune profiles. Second, trained immunity assessments varied across studies (cytokine production, protection from infection, transcriptional signatures), making direct quantitative comparisons challenging. Third, long-term durability beyond 12 months remains incompletely characterized. Finally, while strong associations were found, the specific odds ratios reported require validation in prospective cohorts.</w:t>
      </w:r>
    </w:p>
    <w:p>
      <w:r>
        <w:t>Despite these limitations, our findings have clear practical implications. First, baseline biomarkers could identify individuals unlikely to respond to BCG, enabling alternative vaccination strategies or adjuvant co-administration. Second, metabolic interventions such as glycolysis enhancers or specific dietary supplements might boost responses in low responders. Third, STAT1 agonists or IFN-gamma pathway activators could potentially serve as trained immunity adjuvants. Future research should focus on prospective validation of these predictors and development of practical biomarker assays for clinical use.</w:t>
      </w:r>
    </w:p>
    <w:p>
      <w:pPr>
        <w:pStyle w:val="Heading1"/>
      </w:pPr>
      <w:r>
        <w:t>5. Conclusions</w:t>
      </w:r>
    </w:p>
    <w:p>
      <w:r>
        <w:t>This pooled analysis of 678 individuals from six multi-omics studies demonstrates that BCG vaccine response heterogeneity is biologically determined rather than random. Approximately 30% of individuals show robust trained immunity induction while 30% exhibit minimal response. Baseline epigenetic states, particularly H3K4me3 at inflammatory gene loci, along with STAT1 expression and glycolytic capacity, are strong predictors of vaccine response. BCG-induced changes persist for more than 12 months through reprogramming of hematopoietic stem cells. These findings provide a scientific foundation for developing personalized BCG vaccination approaches and highlight targets for interventions to enhance trained immunity in low-responding individuals.</w:t>
      </w:r>
    </w:p>
    <w:p>
      <w:pPr>
        <w:pStyle w:val="Heading1"/>
      </w:pPr>
      <w:r>
        <w:t>Acknowledgements</w:t>
      </w:r>
    </w:p>
    <w:p>
      <w:r>
        <w:t>We thank the researchers whose studies contributed data for this pooled analysis. AI-assisted tools were used for literature synthesis and manuscript preparation; all factual claims were verified by the author.</w:t>
      </w:r>
    </w:p>
    <w:p>
      <w:pPr>
        <w:pStyle w:val="Heading1"/>
      </w:pPr>
      <w:r>
        <w:t>Funding</w:t>
      </w:r>
    </w:p>
    <w:p>
      <w:r>
        <w:t>This research received no specific funding.</w:t>
      </w:r>
    </w:p>
    <w:p>
      <w:pPr>
        <w:pStyle w:val="Heading1"/>
      </w:pPr>
      <w:r>
        <w:t>Conflicts of Interest</w:t>
      </w:r>
    </w:p>
    <w:p>
      <w:r>
        <w:t>The author declares no conflicts of interest.</w:t>
      </w:r>
    </w:p>
    <w:p>
      <w:pPr>
        <w:pStyle w:val="Heading1"/>
      </w:pPr>
      <w:r>
        <w:t>Author Contributions</w:t>
      </w:r>
    </w:p>
    <w:p>
      <w:r>
        <w:t>Siddalingaiah H S: Conceptualization, Methodology, Formal Analysis, Writing - Original Draft, Visualization.</w:t>
      </w:r>
    </w:p>
    <w:p>
      <w:pPr>
        <w:pStyle w:val="Heading1"/>
      </w:pPr>
      <w:r>
        <w:t>Data Availability</w:t>
      </w:r>
    </w:p>
    <w:p>
      <w:r>
        <w:t>All data analyzed were derived from published studies with verified PMIDs as referenced.</w:t>
      </w:r>
    </w:p>
    <w:p>
      <w:r>
        <w:br w:type="page"/>
      </w:r>
    </w:p>
    <w:p>
      <w:pPr>
        <w:pStyle w:val="Heading1"/>
      </w:pPr>
      <w:r>
        <w:t>References</w:t>
      </w:r>
    </w:p>
    <w:p>
      <w:r>
        <w:t>1. WHO. BCG vaccines: WHO position paper. Wkly Epidemiol Rec 2018;93:73-96. PMID: 29474026</w:t>
      </w:r>
    </w:p>
    <w:p>
      <w:r>
        <w:t>2. Moorlag SJCFM, Rodriguez-Rosales YA, Gillard J, et al. Multi-omics analysis of innate and adaptive responses to BCG vaccination reveals epigenetic cell states that predict trained immunity. Immunity 2024;57:171-187. PMID: 38198850</w:t>
      </w:r>
    </w:p>
    <w:p>
      <w:r>
        <w:t>3. Koeken VACM, de Bree LCJ, Mourits VP, et al. A single-cell view on host immune transcriptional response to in vivo BCG-induced trained immunity. Cell Rep 2023;42:112487. PMID: 37155329</w:t>
      </w:r>
    </w:p>
    <w:p>
      <w:r>
        <w:t>4. Bannister S, Kim B, Dominguez-Andres J, et al. Neonatal BCG vaccination is associated with a long-term DNA methylation signature in circulating monocytes. Sci Adv 2022;8:eabn4002. PMID: 35930640</w:t>
      </w:r>
    </w:p>
    <w:p>
      <w:r>
        <w:t>5. Cirovic B, de Bree LCJ, Groh L, et al. BCG vaccination in humans elicits trained immunity via the hematopoietic progenitor compartment. Cell Host Microbe 2020;28:322-334. PMID: 32544459</w:t>
      </w:r>
    </w:p>
    <w:p>
      <w:r>
        <w:t>6. Kleinnijenhuis J, Quintin J, Preijers F, et al. Bacille Calmette-Guerin induces NOD2-dependent nonspecific protection from reinfection via epigenetic reprogramming of monocytes. PNAS 2012;109:17537-42. PMID: 22988082</w:t>
      </w:r>
    </w:p>
    <w:p>
      <w:r>
        <w:t>7. Arts RJW, Moorlag SJCFM, Novakovic B, et al. BCG vaccination protects against experimental viral infection in humans through the induction of cytokines associated with trained immunity. Cell Host Microbe 2018;23:89-100. PMID: 29324233</w:t>
      </w:r>
    </w:p>
    <w:p>
      <w:r>
        <w:t>8. Netea MG, Joosten LAB, Latz E, et al. Trained immunity: A program of innate immune memory in health and disease. Science 2016;352:aaf1098. PMID: 27102489</w:t>
      </w:r>
    </w:p>
    <w:p>
      <w:r>
        <w:t>9. Saeed S, Quintin J, Kerstens HH, et al. Epigenetic programming of monocyte-to-macrophage differentiation and trained innate immunity. Science 2014;345:1251086. PMID: 25258085</w:t>
      </w:r>
    </w:p>
    <w:p>
      <w:r>
        <w:t>10. Novakovic B, Habibi E, Wang SY, et al. Beta-glucan reverses the epigenetic state of LPS-induced immunological tolerance. Cell 2016;167:1354-1368. PMID: 27863248</w:t>
      </w:r>
    </w:p>
    <w:p>
      <w:r>
        <w:t>11. Arts RJW, Carvalho A, La Rocca C, et al. Immunometabolic pathways in BCG-induced trained immunity. Cell Rep 2016;17:2562-2571. PMID: 27926861</w:t>
      </w:r>
    </w:p>
    <w:p>
      <w:r>
        <w:t>12. Bekkering S, Arts RJW, Novakovic B, et al. Metabolic induction of trained immunity through the mevalonate pathway. Cell 2018;172:135-146. PMID: 29328908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