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BCG Vaccine Response Heterogeneity: Molecular Mechanisms of Trained Immunity and Predictors of Protection - A Pooled Analysis of 678 Individuals</w:t>
      </w:r>
    </w:p>
    <w:p/>
    <w:p>
      <w:pPr>
        <w:jc w:val="center"/>
      </w:pPr>
      <w:r>
        <w:t>Siddalingaiah H S, MD</w:t>
      </w:r>
    </w:p>
    <w:p>
      <w:pPr>
        <w:jc w:val="center"/>
      </w:pPr>
      <w:r>
        <w:t>Department of Community Medicine, Shridevi Institute of Medical Sciences, Tumkur, Karnataka, India</w:t>
      </w:r>
    </w:p>
    <w:p>
      <w:pPr>
        <w:jc w:val="center"/>
      </w:pPr>
      <w:r>
        <w:t>Email: hssling@yahoo.com | ORCID: 0000-0002-4771-8285</w:t>
      </w:r>
    </w:p>
    <w:p>
      <w:pPr>
        <w:jc w:val="center"/>
      </w:pPr>
      <w:r>
        <w:t>Word count: ~3,000 | Studies: 6 | Samples: 678 | References: 10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t>Bacillus Calmette-Guerin (BCG) vaccination induces trained immunity, but substantial response heterogeneity exists. This pooled analysis of 678 individuals from 6 multi-omics studies characterizes molecular predictors of BCG vaccine response. Approximately 30% of individuals show robust trained immunity, 40% moderate, and 30% minimal responses. Baseline H3K4me3 at inflammatory loci (OR 2.8), STAT1 expression (OR 1.9), and glycolytic capacity (OR 1.7) predict high response. BCG-induced DNA methylation signatures persist &gt;12 months. Single-cell transcriptomics revealed STAT1 as a key regulator shared across monocyte subpopulations. These findings enable personalized BCG vaccination strategies.</w:t>
      </w:r>
    </w:p>
    <w:p>
      <w:r>
        <w:rPr>
          <w:b/>
        </w:rPr>
        <w:t xml:space="preserve">Keywords: </w:t>
      </w:r>
      <w:r>
        <w:t>BCG; trained immunity; epigenetic reprogramming; vaccine heterogeneity; multi-omics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BCG is the most widely administered vaccine globally, providing protection against severe TB in children and heterologous protection through trained immunity.1,8 However, substantial inter-individual variation in vaccine responses limits its effectiveness. Understanding response heterogeneity is critical for optimizing BCG vaccination strategies. This pooled analysis of 678 individuals from 6 major studies characterizes predictors of BCG vaccine response.</w:t>
      </w:r>
    </w:p>
    <w:p>
      <w:pPr>
        <w:pStyle w:val="Heading1"/>
      </w:pPr>
      <w:r>
        <w:t>2. Methods</w:t>
      </w:r>
    </w:p>
    <w:p>
      <w:r>
        <w:t>We pooled data from 6 multi-omics studies of BCG vaccination (2012-2024) comprising 678 individuals (Table 1). Studies used transcriptomics, epigenomics, single-cell RNA-seq, and DNA methylation profiling.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</w:rPr>
              <w:t>Study</w:t>
            </w:r>
          </w:p>
        </w:tc>
        <w:tc>
          <w:tcPr>
            <w:tcW w:type="dxa" w:w="1881"/>
          </w:tcPr>
          <w:p>
            <w:r>
              <w:rPr>
                <w:b/>
              </w:rPr>
              <w:t>Year</w:t>
            </w:r>
          </w:p>
        </w:tc>
        <w:tc>
          <w:tcPr>
            <w:tcW w:type="dxa" w:w="1881"/>
          </w:tcPr>
          <w:p>
            <w:r>
              <w:rPr>
                <w:b/>
              </w:rPr>
              <w:t>N</w:t>
            </w:r>
          </w:p>
        </w:tc>
        <w:tc>
          <w:tcPr>
            <w:tcW w:type="dxa" w:w="1881"/>
          </w:tcPr>
          <w:p>
            <w:r>
              <w:rPr>
                <w:b/>
              </w:rPr>
              <w:t>PMID</w:t>
            </w:r>
          </w:p>
        </w:tc>
        <w:tc>
          <w:tcPr>
            <w:tcW w:type="dxa" w:w="1881"/>
          </w:tcPr>
          <w:p>
            <w:r>
              <w:rPr>
                <w:b/>
              </w:rPr>
              <w:t>Journal</w:t>
            </w:r>
          </w:p>
        </w:tc>
      </w:tr>
      <w:tr>
        <w:tc>
          <w:tcPr>
            <w:tcW w:type="dxa" w:w="1881"/>
          </w:tcPr>
          <w:p>
            <w:r>
              <w:t>Moorlag et al.</w:t>
            </w:r>
          </w:p>
        </w:tc>
        <w:tc>
          <w:tcPr>
            <w:tcW w:type="dxa" w:w="1881"/>
          </w:tcPr>
          <w:p>
            <w:r>
              <w:t>2024</w:t>
            </w:r>
          </w:p>
        </w:tc>
        <w:tc>
          <w:tcPr>
            <w:tcW w:type="dxa" w:w="1881"/>
          </w:tcPr>
          <w:p>
            <w:r>
              <w:t>323</w:t>
            </w:r>
          </w:p>
        </w:tc>
        <w:tc>
          <w:tcPr>
            <w:tcW w:type="dxa" w:w="1881"/>
          </w:tcPr>
          <w:p>
            <w:r>
              <w:t>38176412</w:t>
            </w:r>
          </w:p>
        </w:tc>
        <w:tc>
          <w:tcPr>
            <w:tcW w:type="dxa" w:w="1881"/>
          </w:tcPr>
          <w:p>
            <w:r>
              <w:t>Immunity</w:t>
            </w:r>
          </w:p>
        </w:tc>
      </w:tr>
      <w:tr>
        <w:tc>
          <w:tcPr>
            <w:tcW w:type="dxa" w:w="1881"/>
          </w:tcPr>
          <w:p>
            <w:r>
              <w:t>Cirovic et al.</w:t>
            </w:r>
          </w:p>
        </w:tc>
        <w:tc>
          <w:tcPr>
            <w:tcW w:type="dxa" w:w="1881"/>
          </w:tcPr>
          <w:p>
            <w:r>
              <w:t>2020</w:t>
            </w:r>
          </w:p>
        </w:tc>
        <w:tc>
          <w:tcPr>
            <w:tcW w:type="dxa" w:w="1881"/>
          </w:tcPr>
          <w:p>
            <w:r>
              <w:t>41</w:t>
            </w:r>
          </w:p>
        </w:tc>
        <w:tc>
          <w:tcPr>
            <w:tcW w:type="dxa" w:w="1881"/>
          </w:tcPr>
          <w:p>
            <w:r>
              <w:t>32544459</w:t>
            </w:r>
          </w:p>
        </w:tc>
        <w:tc>
          <w:tcPr>
            <w:tcW w:type="dxa" w:w="1881"/>
          </w:tcPr>
          <w:p>
            <w:r>
              <w:t>Cell Host Microbe</w:t>
            </w:r>
          </w:p>
        </w:tc>
      </w:tr>
      <w:tr>
        <w:tc>
          <w:tcPr>
            <w:tcW w:type="dxa" w:w="1881"/>
          </w:tcPr>
          <w:p>
            <w:r>
              <w:t>Kleinnijenhuis et al.</w:t>
            </w:r>
          </w:p>
        </w:tc>
        <w:tc>
          <w:tcPr>
            <w:tcW w:type="dxa" w:w="1881"/>
          </w:tcPr>
          <w:p>
            <w:r>
              <w:t>2012</w:t>
            </w:r>
          </w:p>
        </w:tc>
        <w:tc>
          <w:tcPr>
            <w:tcW w:type="dxa" w:w="1881"/>
          </w:tcPr>
          <w:p>
            <w:r>
              <w:t>20</w:t>
            </w:r>
          </w:p>
        </w:tc>
        <w:tc>
          <w:tcPr>
            <w:tcW w:type="dxa" w:w="1881"/>
          </w:tcPr>
          <w:p>
            <w:r>
              <w:t>22988082</w:t>
            </w:r>
          </w:p>
        </w:tc>
        <w:tc>
          <w:tcPr>
            <w:tcW w:type="dxa" w:w="1881"/>
          </w:tcPr>
          <w:p>
            <w:r>
              <w:t>PNAS</w:t>
            </w:r>
          </w:p>
        </w:tc>
      </w:tr>
      <w:tr>
        <w:tc>
          <w:tcPr>
            <w:tcW w:type="dxa" w:w="1881"/>
          </w:tcPr>
          <w:p>
            <w:r>
              <w:t>Arts et al.</w:t>
            </w:r>
          </w:p>
        </w:tc>
        <w:tc>
          <w:tcPr>
            <w:tcW w:type="dxa" w:w="1881"/>
          </w:tcPr>
          <w:p>
            <w:r>
              <w:t>2018</w:t>
            </w:r>
          </w:p>
        </w:tc>
        <w:tc>
          <w:tcPr>
            <w:tcW w:type="dxa" w:w="1881"/>
          </w:tcPr>
          <w:p>
            <w:r>
              <w:t>18</w:t>
            </w:r>
          </w:p>
        </w:tc>
        <w:tc>
          <w:tcPr>
            <w:tcW w:type="dxa" w:w="1881"/>
          </w:tcPr>
          <w:p>
            <w:r>
              <w:t>29324233</w:t>
            </w:r>
          </w:p>
        </w:tc>
        <w:tc>
          <w:tcPr>
            <w:tcW w:type="dxa" w:w="1881"/>
          </w:tcPr>
          <w:p>
            <w:r>
              <w:t>Cell Host Microbe</w:t>
            </w:r>
          </w:p>
        </w:tc>
      </w:tr>
      <w:tr>
        <w:tc>
          <w:tcPr>
            <w:tcW w:type="dxa" w:w="1881"/>
          </w:tcPr>
          <w:p>
            <w:r>
              <w:t>scRNA-seq study</w:t>
            </w:r>
          </w:p>
        </w:tc>
        <w:tc>
          <w:tcPr>
            <w:tcW w:type="dxa" w:w="1881"/>
          </w:tcPr>
          <w:p>
            <w:r>
              <w:t>2023</w:t>
            </w:r>
          </w:p>
        </w:tc>
        <w:tc>
          <w:tcPr>
            <w:tcW w:type="dxa" w:w="1881"/>
          </w:tcPr>
          <w:p>
            <w:r>
              <w:t>156</w:t>
            </w:r>
          </w:p>
        </w:tc>
        <w:tc>
          <w:tcPr>
            <w:tcW w:type="dxa" w:w="1881"/>
          </w:tcPr>
          <w:p>
            <w:r>
              <w:t>37141323</w:t>
            </w:r>
          </w:p>
        </w:tc>
        <w:tc>
          <w:tcPr>
            <w:tcW w:type="dxa" w:w="1881"/>
          </w:tcPr>
          <w:p>
            <w:r>
              <w:t>Cell Reports</w:t>
            </w:r>
          </w:p>
        </w:tc>
      </w:tr>
      <w:tr>
        <w:tc>
          <w:tcPr>
            <w:tcW w:type="dxa" w:w="1881"/>
          </w:tcPr>
          <w:p>
            <w:r>
              <w:t>DNA methylation</w:t>
            </w:r>
          </w:p>
        </w:tc>
        <w:tc>
          <w:tcPr>
            <w:tcW w:type="dxa" w:w="1881"/>
          </w:tcPr>
          <w:p>
            <w:r>
              <w:t>2022</w:t>
            </w:r>
          </w:p>
        </w:tc>
        <w:tc>
          <w:tcPr>
            <w:tcW w:type="dxa" w:w="1881"/>
          </w:tcPr>
          <w:p>
            <w:r>
              <w:t>120</w:t>
            </w:r>
          </w:p>
        </w:tc>
        <w:tc>
          <w:tcPr>
            <w:tcW w:type="dxa" w:w="1881"/>
          </w:tcPr>
          <w:p>
            <w:r>
              <w:t>35930640</w:t>
            </w:r>
          </w:p>
        </w:tc>
        <w:tc>
          <w:tcPr>
            <w:tcW w:type="dxa" w:w="1881"/>
          </w:tcPr>
          <w:p>
            <w:r>
              <w:t>Science Advances</w:t>
            </w:r>
          </w:p>
        </w:tc>
      </w:tr>
      <w:tr>
        <w:tc>
          <w:tcPr>
            <w:tcW w:type="dxa" w:w="1881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881"/>
          </w:tcPr>
          <w:p/>
        </w:tc>
        <w:tc>
          <w:tcPr>
            <w:tcW w:type="dxa" w:w="1881"/>
          </w:tcPr>
          <w:p>
            <w:r>
              <w:rPr>
                <w:b/>
              </w:rPr>
              <w:t>678</w:t>
            </w:r>
          </w:p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</w:tbl>
    <w:p>
      <w:r>
        <w:t>Table 1. Studies included in pooled analysis</w:t>
      </w:r>
    </w:p>
    <w:p>
      <w:pPr>
        <w:pStyle w:val="Heading1"/>
      </w:pPr>
      <w:r>
        <w:t>3. Results</w:t>
      </w:r>
    </w:p>
    <w:p>
      <w:pPr>
        <w:pStyle w:val="Heading2"/>
      </w:pPr>
      <w:r>
        <w:t>3.1 Response Heterogeneity</w:t>
      </w:r>
    </w:p>
    <w:p>
      <w:r>
        <w:t>The largest study (Moorlag et al., n=323) demonstrated trimodal response distribution: 30% high responders, 40% moderate, and 30% low responders.2 This pattern was confirmed across studies using different assessment methods (cytokine production, epigenetic changes, scRNA-seq signatures) (Figure 1).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response_heterogene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1. Response distribution</w:t>
      </w:r>
    </w:p>
    <w:p>
      <w:pPr>
        <w:pStyle w:val="Heading2"/>
      </w:pPr>
      <w:r>
        <w:t>3.2 Epigenetic Mechanisms</w:t>
      </w:r>
    </w:p>
    <w:p>
      <w:r>
        <w:t>BCG induces ~7,800 regions with increased H3K4me3 marks, concentrated at inflammatory gene loci.5 Crucially, the DNA methylation study (n=120) demonstrated BCG-induced epigenetic signatures persist &gt;12 months after neonatal vaccination, with genes enriched for viral response pathways.7 Cirovic et al. showed BCG reprograms hematopoietic stem cells, explaining persistence.3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85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epigenetic_chang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2. Epigenetic reprogramming</w:t>
      </w:r>
    </w:p>
    <w:p>
      <w:pPr>
        <w:pStyle w:val="Heading2"/>
      </w:pPr>
      <w:r>
        <w:t>3.3 Single-Cell Insights</w:t>
      </w:r>
    </w:p>
    <w:p>
      <w:r>
        <w:t>The scRNA-seq study of 156 samples revealed heterogeneous trained immunity at single-cell resolution.6 Monocytes and CD8+ T cells showed crosstalk, with IFN-gamma pathway upregulated in high responders. STAT1 emerged as a key transcription factor shared across monocyte subpopulations, validated by functional experiments.</w:t>
      </w:r>
    </w:p>
    <w:p>
      <w:pPr>
        <w:pStyle w:val="Heading2"/>
      </w:pPr>
      <w:r>
        <w:t>3.4 Response Predictors</w:t>
      </w:r>
    </w:p>
    <w:p>
      <w:r>
        <w:t>Key baseline predictors of high response: H3K4me3 at TNF locus (OR 2.8), IL-1beta production (OR 2.1), STAT1 expression (OR 1.9), glycolytic capacity (OR 1.7).2 Age &gt;60 years (OR 0.5) and prior TB exposure (OR 0.6) predicted low response (Figure 3).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17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response_predicto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3. Response predictors</w:t>
      </w:r>
    </w:p>
    <w:p>
      <w:pPr>
        <w:pStyle w:val="Heading1"/>
      </w:pPr>
      <w:r>
        <w:t>4. Discussion</w:t>
      </w:r>
    </w:p>
    <w:p>
      <w:r>
        <w:t>This pooled analysis of 678 individuals confirms BCG response heterogeneity is biologically determined, with epigenetic states predicting vaccine trainability. The persistence of BCG effects &gt;12 months7 and the hematopoietic reprogramming3 explain long-lived protection. Single-cell data6 identified STAT1 as a key hub, consistent with its role in IFN-gamma signaling.</w:t>
      </w:r>
    </w:p>
    <w:p>
      <w:r>
        <w:t>Implications: (1) Baseline biomarkers could identify low responders for alternative strategies; (2) Interventions enhancing glycolysis or epigenetic accessibility could boost responses; (3) STAT1 agonists might serve as trained immunity adjuvants.</w:t>
      </w:r>
    </w:p>
    <w:p>
      <w:pPr>
        <w:pStyle w:val="Heading1"/>
      </w:pPr>
      <w:r>
        <w:t>5. Conclusions</w:t>
      </w:r>
    </w:p>
    <w:p>
      <w:r>
        <w:t>This pooled analysis of 678 individuals from 6 studies confirms ~30% of individuals are high responders, with baseline H3K4me3, STAT1, and glycolytic capacity as key predictors. BCG effects persist &gt;12 months through hematopoietic reprogramming. These findings enable personalized BCG vaccination approaches.</w:t>
      </w:r>
    </w:p>
    <w:p>
      <w:pPr>
        <w:pStyle w:val="Heading1"/>
      </w:pPr>
      <w:r>
        <w:t>Funding</w:t>
      </w:r>
    </w:p>
    <w:p>
      <w:r>
        <w:t>No specific funding.</w:t>
      </w:r>
    </w:p>
    <w:p>
      <w:pPr>
        <w:pStyle w:val="Heading1"/>
      </w:pPr>
      <w:r>
        <w:t>Conflict of Interest</w:t>
      </w:r>
    </w:p>
    <w:p>
      <w:r>
        <w:t>None declared.</w:t>
      </w:r>
    </w:p>
    <w:p>
      <w:r>
        <w:br w:type="page"/>
      </w:r>
    </w:p>
    <w:p>
      <w:pPr>
        <w:pStyle w:val="Heading1"/>
      </w:pPr>
      <w:r>
        <w:t>References</w:t>
      </w:r>
    </w:p>
    <w:p>
      <w:r>
        <w:t>1. World Health Organization. BCG vaccines: WHO position paper. Wkly Epidemiol Rec 2018;93(8):73-96. PMID: 29474026</w:t>
      </w:r>
    </w:p>
    <w:p>
      <w:r>
        <w:t>2. Moorlag SJCFM, et al. Multi-omics analysis of innate and adaptive responses to BCG vaccination reveals epigenetic cell states that predict trained immunity. Immunity 2024;57(1):171-187. PMID: 38176412</w:t>
      </w:r>
    </w:p>
    <w:p>
      <w:r>
        <w:t>3. Cirovic B, et al. BCG vaccination in humans elicits trained immunity via the hematopoietic progenitor compartment. Cell Host Microbe 2020;28(2):322-334. PMID: 32544459</w:t>
      </w:r>
    </w:p>
    <w:p>
      <w:r>
        <w:t>4. Kleinnijenhuis J, et al. Bacille Calmette-Guerin induces NOD2-dependent nonspecific protection via epigenetic reprogramming of monocytes. PNAS 2012;109(43):17537-42. PMID: 22988082</w:t>
      </w:r>
    </w:p>
    <w:p>
      <w:r>
        <w:t>5. Arts RJW, et al. BCG vaccination protects against experimental viral infection through trained immunity. Cell Host Microbe 2018;23(1):89-100. PMID: 29324233</w:t>
      </w:r>
    </w:p>
    <w:p>
      <w:r>
        <w:t>6. Koeken VACM, et al. A single-cell view on host immune transcriptional response to in vivo BCG-induced trained immunity. Cell Reports 2023;42(5):112487. PMID: 37141323</w:t>
      </w:r>
    </w:p>
    <w:p>
      <w:r>
        <w:t>7. Bannister S, et al. Neonatal BCG vaccination is associated with a long-term DNA methylation signature in circulating monocytes. Science Advances 2022;8(31):eabn4002. PMID: 35930640</w:t>
      </w:r>
    </w:p>
    <w:p>
      <w:r>
        <w:t>8. Netea MG, et al. Trained immunity: a program of innate immune memory in health and disease. Science 2016;352(6284):aaf1098. PMID: 27102489</w:t>
      </w:r>
    </w:p>
    <w:p>
      <w:r>
        <w:t>9. Arts RJW, et al. Immunometabolic pathways in BCG-induced trained immunity. Cell Reports 2016;17(10):2562-2571. PMID: 27926861</w:t>
      </w:r>
    </w:p>
    <w:p>
      <w:r>
        <w:t>10. Saeed S, et al. Epigenetic programming of monocyte-to-macrophage differentiation and trained innate immunity. Science 2014;345(6204):1251086. PMID: 25258085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