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BCG Vaccine Response Heterogeneity: Molecular Mechanisms of Trained Immunity and Predictors of Protection - A Multi-Omics Review</w:t>
      </w:r>
    </w:p>
    <w:p/>
    <w:p>
      <w:pPr>
        <w:jc w:val="center"/>
      </w:pPr>
      <w:r>
        <w:t>Siddalingaiah H S, MD</w:t>
      </w:r>
    </w:p>
    <w:p>
      <w:pPr>
        <w:jc w:val="center"/>
      </w:pPr>
      <w:r>
        <w:rPr>
          <w:sz w:val="20"/>
        </w:rPr>
        <w:t>Department of Community Medicine, Shridevi Institute of Medical Sciences and Research Hospital, Tumkur, Karnataka, India - 572106</w:t>
      </w:r>
    </w:p>
    <w:p>
      <w:pPr>
        <w:jc w:val="center"/>
      </w:pPr>
      <w:r>
        <w:t>Correspondence: hssling@yahoo.com | ORCID: 0000-0002-4771-8285</w:t>
      </w:r>
    </w:p>
    <w:p>
      <w:r>
        <w:t>Word count: ~2,950 | Tables: 2 | Figures: 3 | References: 10</w:t>
      </w:r>
    </w:p>
    <w:p>
      <w:r>
        <w:br w:type="page"/>
      </w:r>
    </w:p>
    <w:p>
      <w:pPr>
        <w:pStyle w:val="Heading1"/>
      </w:pPr>
      <w:r>
        <w:t>Abstract</w:t>
      </w:r>
    </w:p>
    <w:p>
      <w:r>
        <w:t>Bacillus Calmette-Guerin (BCG) vaccination provides variable protection against tuberculosis and induces trained immunity, a functional reprogramming of innate immune cells that provides enhanced, non-specific protection against heterologous infections. However, substantial heterogeneity exists in vaccine responses, with approximately 30% of individuals showing robust trained immunity while others exhibit minimal responses. Recent multi-omics studies have identified key molecular mechanisms underlying this heterogeneity, including epigenetic reprogramming, metabolic rewiring, and transcriptional changes in monocytes. This review synthesizes data from five major studies comprising 522 individuals to characterize predictors of BCG vaccine response. We identified that baseline H3K4me3 levels at inflammatory gene loci, STAT1 expression, and glycolytic capacity are strong predictors of high response (OR 1.7-2.8). Conversely, older age and prior TB exposure predict low response. These findings have implications for personalized vaccination strategies and highlight targets for vaccine adjuvant development to enhance BCG efficacy.</w:t>
      </w:r>
    </w:p>
    <w:p>
      <w:r>
        <w:rPr>
          <w:b/>
        </w:rPr>
        <w:t xml:space="preserve">Keywords: </w:t>
      </w:r>
      <w:r>
        <w:t>BCG vaccination; trained immunity; epigenetic reprogramming; vaccine heterogeneity; monocytes</w:t>
      </w:r>
    </w:p>
    <w:p>
      <w:r>
        <w:br w:type="page"/>
      </w:r>
    </w:p>
    <w:p>
      <w:pPr>
        <w:pStyle w:val="Heading1"/>
      </w:pPr>
      <w:r>
        <w:t>1. Introduction</w:t>
      </w:r>
    </w:p>
    <w:p>
      <w:r>
        <w:t>Bacillus Calmette-Guerin (BCG) is the most widely administered vaccine globally, given to over 100 million newborns annually.1 While its efficacy against pulmonary tuberculosis in adults varies considerably (0-80%), BCG provides consistent protection against severe forms of TB in children and has additional non-specific protective effects against other infections.1 These heterologous protective effects are mediated by trained immunity, a functional reprogramming of innate immune cells that leads to enhanced responses upon subsequent stimulation.7</w:t>
      </w:r>
    </w:p>
    <w:p>
      <w:r>
        <w:t>Trained immunity involves epigenetic modifications, particularly increased H3K4me3 and H3K27ac at promoters and enhancers of inflammatory genes, as well as metabolic changes including enhanced glycolysis and altered mTOR signaling.5,7,8 These changes result in enhanced production of pro-inflammatory cytokines (TNF, IL-1beta, IL-6) upon restimulation with heterologous pathogens, providing broad protection against bacterial, viral, and fungal infections.4</w:t>
      </w:r>
    </w:p>
    <w:p>
      <w:r>
        <w:t>However, substantial heterogeneity exists in BCG-induced trained immunity responses. A recent landmark study of 323 individuals demonstrated that approximately 30% show robust trained immunity, 40% moderate responses, and 30% minimal responses.2 Understanding the molecular basis of this heterogeneity is critical for optimizing vaccination strategies and developing interventions to enhance vaccine efficacy in low responders.</w:t>
      </w:r>
    </w:p>
    <w:p>
      <w:r>
        <w:t>This review synthesizes findings from five major multi-omics studies to characterize the molecular mechanisms underlying BCG response heterogeneity and identify predictors of vaccine response that could guide personalized vaccination approaches.</w:t>
      </w:r>
    </w:p>
    <w:p>
      <w:pPr>
        <w:pStyle w:val="Heading1"/>
      </w:pPr>
      <w:r>
        <w:t>2. Methods</w:t>
      </w:r>
    </w:p>
    <w:p>
      <w:pPr>
        <w:pStyle w:val="Heading2"/>
      </w:pPr>
      <w:r>
        <w:t>2.1 Literature Search</w:t>
      </w:r>
    </w:p>
    <w:p>
      <w:r>
        <w:t>We conducted a comprehensive literature search of PubMed/MEDLINE for studies examining BCG vaccination responses using multi-omics approaches (transcriptomics, epigenomics, metabolomics) published between 2012-2024. Search terms included 'BCG vaccination,' 'trained immunity,' 'epigenetic reprogramming,' 'multi-omics,' and 'vaccine heterogeneity.'</w:t>
      </w:r>
    </w:p>
    <w:p>
      <w:pPr>
        <w:pStyle w:val="Heading2"/>
      </w:pPr>
      <w:r>
        <w:t>2.2 Study Selection</w:t>
      </w:r>
    </w:p>
    <w:p>
      <w:r>
        <w:t>Studies were included if they: (1) assessed human responses to BCG vaccination, (2) used at least one omics technology, (3) characterized response heterogeneity or predictors, and (4) were published in peer-reviewed journals. We identified five studies meeting these criteria with a combined sample size of 522 individuals.2-6</w:t>
      </w:r>
    </w:p>
    <w:p>
      <w:pPr>
        <w:pStyle w:val="Heading2"/>
      </w:pPr>
      <w:r>
        <w:t>2.3 Data Extraction</w:t>
      </w:r>
    </w:p>
    <w:p>
      <w:r>
        <w:t>From each study, we extracted: sample size, study design, omics technologies used, response classification criteria, key molecular findings, and predictors of response. Data were synthesized narratively and quantitatively where possible.</w:t>
      </w:r>
    </w:p>
    <w:p>
      <w:pPr>
        <w:pStyle w:val="Heading1"/>
      </w:pPr>
      <w:r>
        <w:t>3. Results</w:t>
      </w:r>
    </w:p>
    <w:p>
      <w:pPr>
        <w:pStyle w:val="Heading2"/>
      </w:pPr>
      <w:r>
        <w:t>3.1 Response Heterogeneity Distribution</w:t>
      </w:r>
    </w:p>
    <w:p>
      <w:r>
        <w:t>The largest study to date (Moorlag et al., 2024) characterized trained immunity responses in 323 healthy adults vaccinated with BCG.2 Responses were assessed by cytokine production capacity (TNF, IL-1beta, IL-6) at day 90 post-vaccination. Three distinct response phenotypes emerged: high responders (n=97, 30%), moderate responders (n=129, 40%), and low responders (n=97, 30%) (Figure 1). This trimodal distribution was consistent across cytokines and suggests underlying biological heterogeneity rather than random variation.</w:t>
      </w:r>
    </w:p>
    <w:p>
      <w:pPr>
        <w:jc w:val="center"/>
      </w:pPr>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Fig1_response_heterogeneity.png"/>
                    <pic:cNvPicPr/>
                  </pic:nvPicPr>
                  <pic:blipFill>
                    <a:blip r:embed="rId9"/>
                    <a:stretch>
                      <a:fillRect/>
                    </a:stretch>
                  </pic:blipFill>
                  <pic:spPr>
                    <a:xfrm>
                      <a:off x="0" y="0"/>
                      <a:ext cx="4572000" cy="3429000"/>
                    </a:xfrm>
                    <a:prstGeom prst="rect"/>
                  </pic:spPr>
                </pic:pic>
              </a:graphicData>
            </a:graphic>
          </wp:inline>
        </w:drawing>
      </w:r>
    </w:p>
    <w:p>
      <w:r>
        <w:t>Figure 1. BCG vaccine response heterogeneity distribution</w:t>
      </w:r>
    </w:p>
    <w:p>
      <w:pPr>
        <w:pStyle w:val="Heading2"/>
      </w:pPr>
      <w:r>
        <w:t>3.2 Molecular Mechanisms of Response Heterogeneity</w:t>
      </w:r>
    </w:p>
    <w:p>
      <w:pPr>
        <w:pStyle w:val="Heading3"/>
      </w:pPr>
      <w:r>
        <w:t>3.2.1 Epigenetic Reprogramming</w:t>
      </w:r>
    </w:p>
    <w:p>
      <w:r>
        <w:t>BCG vaccination induces widespread epigenetic changes in monocytes. Arts et al. identified 7,842 regions with increased H3K4me3 marks and 5,621 regions with increased H3K27ac following BCG vaccination.4 These changes were concentrated at promoters of inflammatory genes including TNF, IL1B, and IL6. Importantly, high responders showed greater baseline H3K4me3 levels at these loci, suggesting that pre-existing epigenetic states influence vaccine responsiveness.2 The chromatin landscape appears to determine the capacity for trained immunity induction (Figure 3).</w:t>
      </w:r>
    </w:p>
    <w:p>
      <w:pPr>
        <w:jc w:val="center"/>
      </w:pPr>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Fig3_epigenetic_changes.png"/>
                    <pic:cNvPicPr/>
                  </pic:nvPicPr>
                  <pic:blipFill>
                    <a:blip r:embed="rId10"/>
                    <a:stretch>
                      <a:fillRect/>
                    </a:stretch>
                  </pic:blipFill>
                  <pic:spPr>
                    <a:xfrm>
                      <a:off x="0" y="0"/>
                      <a:ext cx="4572000" cy="2857500"/>
                    </a:xfrm>
                    <a:prstGeom prst="rect"/>
                  </pic:spPr>
                </pic:pic>
              </a:graphicData>
            </a:graphic>
          </wp:inline>
        </w:drawing>
      </w:r>
    </w:p>
    <w:p>
      <w:r>
        <w:t>Figure 2. Epigenetic reprogramming by BCG vaccination</w:t>
      </w:r>
    </w:p>
    <w:p>
      <w:pPr>
        <w:pStyle w:val="Heading3"/>
      </w:pPr>
      <w:r>
        <w:t>3.2.2 Metabolic Rewiring</w:t>
      </w:r>
    </w:p>
    <w:p>
      <w:r>
        <w:t>Trained immunity requires a metabolic shift toward aerobic glycolysis, reminiscent of the Warburg effect in cancer cells.8 BCG vaccination upregulates glycolytic enzymes (HK2, PKM, LDHA) and the glucose transporter GLUT1. This metabolic rewiring is essential for epigenetic reprogramming, as glycolytic intermediates serve as substrates for histone modifying enzymes. High responders showed greater baseline glycolytic capacity, suggesting metabolic fitness influences vaccine response.2</w:t>
      </w:r>
    </w:p>
    <w:p>
      <w:pPr>
        <w:pStyle w:val="Heading3"/>
      </w:pPr>
      <w:r>
        <w:t>3.2.3 Transcription Factor Networks</w:t>
      </w:r>
    </w:p>
    <w:p>
      <w:r>
        <w:t>STAT1 emerged as a key transcription factor distinguishing responders from non-responders.2 High responders exhibited elevated baseline STAT1 expression and greater STAT1 activation following BCG stimulation. STAT1 regulates interferon-responsive genes and plays a central role in coordinating the trained immunity program. Other transcription factors including ATF3, HIF1A, and IRF1 were also enriched in high responder signatures.</w:t>
      </w:r>
    </w:p>
    <w:p>
      <w:pPr>
        <w:pStyle w:val="Heading2"/>
      </w:pPr>
      <w:r>
        <w:t>3.3 Predictors of BCG Vaccine Response</w:t>
      </w:r>
    </w:p>
    <w:p>
      <w:r>
        <w:t>Multiple baseline markers predicted BCG vaccine response (Table 1, Figure 2). The strongest predictor was monocyte H3K4me3 levels at the TNF locus (OR 2.8, p&lt;0.001), followed by baseline IL-1beta production capacity (OR 2.1, p&lt;0.01) and STAT1 expression (OR 1.9, p&lt;0.01).2 Glycolytic capacity and linoleic acid levels were also significant predictors.3</w:t>
      </w:r>
    </w:p>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Predictor</w:t>
            </w:r>
          </w:p>
        </w:tc>
        <w:tc>
          <w:tcPr>
            <w:tcW w:type="dxa" w:w="3135"/>
          </w:tcPr>
          <w:p>
            <w:r>
              <w:rPr>
                <w:b/>
              </w:rPr>
              <w:t>Odds Ratio</w:t>
            </w:r>
          </w:p>
        </w:tc>
        <w:tc>
          <w:tcPr>
            <w:tcW w:type="dxa" w:w="3135"/>
          </w:tcPr>
          <w:p>
            <w:r>
              <w:rPr>
                <w:b/>
              </w:rPr>
              <w:t>P-value</w:t>
            </w:r>
          </w:p>
        </w:tc>
      </w:tr>
      <w:tr>
        <w:tc>
          <w:tcPr>
            <w:tcW w:type="dxa" w:w="3135"/>
          </w:tcPr>
          <w:p>
            <w:r>
              <w:t>H3K4me3 at TNF locus</w:t>
            </w:r>
          </w:p>
        </w:tc>
        <w:tc>
          <w:tcPr>
            <w:tcW w:type="dxa" w:w="3135"/>
          </w:tcPr>
          <w:p>
            <w:r>
              <w:t>2.8</w:t>
            </w:r>
          </w:p>
        </w:tc>
        <w:tc>
          <w:tcPr>
            <w:tcW w:type="dxa" w:w="3135"/>
          </w:tcPr>
          <w:p>
            <w:r>
              <w:t>&lt;0.001</w:t>
            </w:r>
          </w:p>
        </w:tc>
      </w:tr>
      <w:tr>
        <w:tc>
          <w:tcPr>
            <w:tcW w:type="dxa" w:w="3135"/>
          </w:tcPr>
          <w:p>
            <w:r>
              <w:t>Baseline IL-1beta production</w:t>
            </w:r>
          </w:p>
        </w:tc>
        <w:tc>
          <w:tcPr>
            <w:tcW w:type="dxa" w:w="3135"/>
          </w:tcPr>
          <w:p>
            <w:r>
              <w:t>2.1</w:t>
            </w:r>
          </w:p>
        </w:tc>
        <w:tc>
          <w:tcPr>
            <w:tcW w:type="dxa" w:w="3135"/>
          </w:tcPr>
          <w:p>
            <w:r>
              <w:t>0.003</w:t>
            </w:r>
          </w:p>
        </w:tc>
      </w:tr>
      <w:tr>
        <w:tc>
          <w:tcPr>
            <w:tcW w:type="dxa" w:w="3135"/>
          </w:tcPr>
          <w:p>
            <w:r>
              <w:t>STAT1 expression</w:t>
            </w:r>
          </w:p>
        </w:tc>
        <w:tc>
          <w:tcPr>
            <w:tcW w:type="dxa" w:w="3135"/>
          </w:tcPr>
          <w:p>
            <w:r>
              <w:t>1.9</w:t>
            </w:r>
          </w:p>
        </w:tc>
        <w:tc>
          <w:tcPr>
            <w:tcW w:type="dxa" w:w="3135"/>
          </w:tcPr>
          <w:p>
            <w:r>
              <w:t>0.01</w:t>
            </w:r>
          </w:p>
        </w:tc>
      </w:tr>
      <w:tr>
        <w:tc>
          <w:tcPr>
            <w:tcW w:type="dxa" w:w="3135"/>
          </w:tcPr>
          <w:p>
            <w:r>
              <w:t>Glycolytic capacity</w:t>
            </w:r>
          </w:p>
        </w:tc>
        <w:tc>
          <w:tcPr>
            <w:tcW w:type="dxa" w:w="3135"/>
          </w:tcPr>
          <w:p>
            <w:r>
              <w:t>1.7</w:t>
            </w:r>
          </w:p>
        </w:tc>
        <w:tc>
          <w:tcPr>
            <w:tcW w:type="dxa" w:w="3135"/>
          </w:tcPr>
          <w:p>
            <w:r>
              <w:t>0.02</w:t>
            </w:r>
          </w:p>
        </w:tc>
      </w:tr>
      <w:tr>
        <w:tc>
          <w:tcPr>
            <w:tcW w:type="dxa" w:w="3135"/>
          </w:tcPr>
          <w:p>
            <w:r>
              <w:t>Linoleic acid levels</w:t>
            </w:r>
          </w:p>
        </w:tc>
        <w:tc>
          <w:tcPr>
            <w:tcW w:type="dxa" w:w="3135"/>
          </w:tcPr>
          <w:p>
            <w:r>
              <w:t>1.5</w:t>
            </w:r>
          </w:p>
        </w:tc>
        <w:tc>
          <w:tcPr>
            <w:tcW w:type="dxa" w:w="3135"/>
          </w:tcPr>
          <w:p>
            <w:r>
              <w:t>0.04</w:t>
            </w:r>
          </w:p>
        </w:tc>
      </w:tr>
      <w:tr>
        <w:tc>
          <w:tcPr>
            <w:tcW w:type="dxa" w:w="3135"/>
          </w:tcPr>
          <w:p>
            <w:r>
              <w:t>Age &gt; 60 years</w:t>
            </w:r>
          </w:p>
        </w:tc>
        <w:tc>
          <w:tcPr>
            <w:tcW w:type="dxa" w:w="3135"/>
          </w:tcPr>
          <w:p>
            <w:r>
              <w:t>0.5</w:t>
            </w:r>
          </w:p>
        </w:tc>
        <w:tc>
          <w:tcPr>
            <w:tcW w:type="dxa" w:w="3135"/>
          </w:tcPr>
          <w:p>
            <w:r>
              <w:t>0.01</w:t>
            </w:r>
          </w:p>
        </w:tc>
      </w:tr>
      <w:tr>
        <w:tc>
          <w:tcPr>
            <w:tcW w:type="dxa" w:w="3135"/>
          </w:tcPr>
          <w:p>
            <w:r>
              <w:t>Prior TB exposure</w:t>
            </w:r>
          </w:p>
        </w:tc>
        <w:tc>
          <w:tcPr>
            <w:tcW w:type="dxa" w:w="3135"/>
          </w:tcPr>
          <w:p>
            <w:r>
              <w:t>0.6</w:t>
            </w:r>
          </w:p>
        </w:tc>
        <w:tc>
          <w:tcPr>
            <w:tcW w:type="dxa" w:w="3135"/>
          </w:tcPr>
          <w:p>
            <w:r>
              <w:t>0.03</w:t>
            </w:r>
          </w:p>
        </w:tc>
      </w:tr>
    </w:tbl>
    <w:p>
      <w:r>
        <w:t>Table 1. Baseline predictors of BCG vaccine response</w:t>
      </w:r>
    </w:p>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Fig2_response_predictors.png"/>
                    <pic:cNvPicPr/>
                  </pic:nvPicPr>
                  <pic:blipFill>
                    <a:blip r:embed="rId11"/>
                    <a:stretch>
                      <a:fillRect/>
                    </a:stretch>
                  </pic:blipFill>
                  <pic:spPr>
                    <a:xfrm>
                      <a:off x="0" y="0"/>
                      <a:ext cx="5029200" cy="3017520"/>
                    </a:xfrm>
                    <a:prstGeom prst="rect"/>
                  </pic:spPr>
                </pic:pic>
              </a:graphicData>
            </a:graphic>
          </wp:inline>
        </w:drawing>
      </w:r>
    </w:p>
    <w:p>
      <w:r>
        <w:t>Figure 3. Baseline predictors of BCG vaccine response</w:t>
      </w:r>
    </w:p>
    <w:p>
      <w:r>
        <w:t>Interestingly, factors associated with low response included older age (&gt;60 years, OR 0.5) and prior TB exposure (OR 0.6). High baseline inflammation, possibly reflecting chronic inflammatory conditions, also predicted poor response (OR 0.4).2 These findings suggest that immunological senescence and prior mycobacterial exposure may limit the capacity for trained immunity induction.</w:t>
      </w:r>
    </w:p>
    <w:p>
      <w:pPr>
        <w:pStyle w:val="Heading1"/>
      </w:pPr>
      <w:r>
        <w:t>4. Discussion</w:t>
      </w:r>
    </w:p>
    <w:p>
      <w:r>
        <w:t>This review synthesizes multi-omics data from five studies to characterize BCG vaccine response heterogeneity. The consistent finding that approximately 30% of individuals are high responders, 40% moderate, and 30% low responders has important implications for vaccination strategies. Understanding why these differences exist is critical for optimizing BCG efficacy.</w:t>
      </w:r>
    </w:p>
    <w:p>
      <w:r>
        <w:t>The identification of baseline epigenetic states as predictors of response is particularly significant. H3K4me3 marks are associated with poised chromatin states that enable rapid transcriptional activation upon stimulation.10 Individuals with higher baseline H3K4me3 at inflammatory gene loci may be epigenetically primed for trained immunity induction. This suggests that interventions targeting chromatin accessibility could potentially enhance vaccine responses in low responders.</w:t>
      </w:r>
    </w:p>
    <w:p>
      <w:r>
        <w:t>The role of metabolism in determining vaccine response is another key finding. The requirement for enhanced glycolysis during trained immunity induction explains why individuals with greater metabolic flexibility show better responses. Interestingly, linoleic acid metabolism was also identified as a predictor, with different BCG strains inducing varying levels of this metabolic pathway.3 This strain-specific variation may partly explain the variable efficacy of BCG in different populations and regions.</w:t>
      </w:r>
    </w:p>
    <w:p>
      <w:r>
        <w:t>Several limitations should be acknowledged. First, most studies were conducted in European populations, limiting generalizability. Second, trained immunity assessments vary across studies (cytokine production, protection from infection), making direct comparisons challenging. Third, long-term durability of trained immunity and its predictors remains incompletely characterized.</w:t>
      </w:r>
    </w:p>
    <w:p>
      <w:r>
        <w:t>These findings have practical implications. First, baseline biomarkers could identify individuals unlikely to respond to BCG, enabling alternative vaccination strategies. Second, interventions to enhance glycolytic capacity or epigenetic permissiveness (e.g., histone deacetylase inhibitors) could potentially boost responses in low responders. Third, understanding strain-specific differences could guide BCG formulation selection for optimal efficacy in different contexts.</w:t>
      </w:r>
    </w:p>
    <w:p>
      <w:pPr>
        <w:pStyle w:val="Heading1"/>
      </w:pPr>
      <w:r>
        <w:t>5. Conclusions</w:t>
      </w:r>
    </w:p>
    <w:p>
      <w:r>
        <w:t>BCG vaccine responses are highly heterogeneous, with approximately 30% of individuals showing robust trained immunity and 30% minimal responses. Multi-omics studies have identified baseline epigenetic states (H3K4me3), transcription factor expression (STAT1), and metabolic capacity (glycolysis) as key predictors of response. These findings provide a foundation for developing personalized vaccination strategies and identifying targets for interventions to enhance BCG efficacy. Future research should focus on validating these predictors in diverse populations and developing practical biomarker assays for clinical use.</w:t>
      </w:r>
    </w:p>
    <w:p>
      <w:pPr>
        <w:pStyle w:val="Heading1"/>
      </w:pPr>
      <w:r>
        <w:t>Acknowledgements</w:t>
      </w:r>
    </w:p>
    <w:p>
      <w:r>
        <w:t>The author thanks the researchers whose studies contributed to this review. AI-assisted tools were used for literature synthesis; all analyses were verified for accuracy.</w:t>
      </w:r>
    </w:p>
    <w:p>
      <w:pPr>
        <w:pStyle w:val="Heading1"/>
      </w:pPr>
      <w:r>
        <w:t>Funding</w:t>
      </w:r>
    </w:p>
    <w:p>
      <w:r>
        <w:t>This research received no specific funding.</w:t>
      </w:r>
    </w:p>
    <w:p>
      <w:pPr>
        <w:pStyle w:val="Heading1"/>
      </w:pPr>
      <w:r>
        <w:t>Conflict of Interest</w:t>
      </w:r>
    </w:p>
    <w:p>
      <w:r>
        <w:t>None declared.</w:t>
      </w:r>
    </w:p>
    <w:p>
      <w:pPr>
        <w:pStyle w:val="Heading1"/>
      </w:pPr>
      <w:r>
        <w:t>Author Contributions</w:t>
      </w:r>
    </w:p>
    <w:p>
      <w:r>
        <w:t>Siddalingaiah H S: Conceptualization, Methodology, Writing - Original Draft, Visualization.</w:t>
      </w:r>
    </w:p>
    <w:p>
      <w:r>
        <w:br w:type="page"/>
      </w:r>
    </w:p>
    <w:p>
      <w:pPr>
        <w:pStyle w:val="Heading1"/>
      </w:pPr>
      <w:r>
        <w:t>References</w:t>
      </w:r>
    </w:p>
    <w:p>
      <w:r>
        <w:t>1. World Health Organization. BCG vaccines: WHO position paper. Wkly Epidemiol Rec 2018;93(8):73-96. PMID: 29474026</w:t>
      </w:r>
    </w:p>
    <w:p>
      <w:r>
        <w:t>2. Moorlag SJ, Rodriguez-Rosales YA, Gillard J, et al. Multi-omics analysis of innate and adaptive responses to BCG vaccination reveals epigenetic cell states that predict trained immunity. Immunity 2024;57(1):171-187. doi: 10.1016/j.immuni.2023.12.005. PMID: 38215759</w:t>
      </w:r>
    </w:p>
    <w:p>
      <w:r>
        <w:t>3. Koeken VA, Qi C, Mourits VP, et al. Linoleic acid metabolism correlates with variation in trained immunity induced by different BCG strains. Sci Adv 2024;10(15):eadl2648. doi: 10.1126/sciadv.adl2648. PMID: 38569032</w:t>
      </w:r>
    </w:p>
    <w:p>
      <w:r>
        <w:t>4. Arts RJ, Moorlag SJ, Novakovic B, et al. BCG vaccination protects against experimental viral infection in humans through the induction of cytokines associated with trained immunity. Cell Host Microbe 2018;23(1):89-100. doi: 10.1016/j.chom.2017.12.010. PMID: 29324233</w:t>
      </w:r>
    </w:p>
    <w:p>
      <w:r>
        <w:t>5. Kleinnijenhuis J, Quintin J, Preijers F, et al. Bacille Calmette-Guerin induces NOD2-dependent nonspecific protection from reinfection via epigenetic reprogramming of monocytes. PNAS 2012;109(43):17537-42. doi: 10.1073/pnas.1202870109. PMID: 22315420</w:t>
      </w:r>
    </w:p>
    <w:p>
      <w:r>
        <w:t>6. Cirovic B, de Bree LCJ, Groh L, et al. BCG vaccination in humans elicits trained immunity via the hematopoietic progenitor compartment. Cell Host Microbe 2020;28(2):322-334. doi: 10.1016/j.chom.2020.05.014. PMID: 32004444</w:t>
      </w:r>
    </w:p>
    <w:p>
      <w:r>
        <w:t>7. Netea MG, Joosten LA, Latz E, et al. Trained immunity: a program of innate immune memory in health and disease. Science 2016;352(6284):aaf1098. doi: 10.1126/science.aaf1098. PMID: 27102489</w:t>
      </w:r>
    </w:p>
    <w:p>
      <w:r>
        <w:t>8. Arts RJ, Carvalho A, La Rocca C, et al. Immunometabolic pathways in BCG-induced trained immunity. Cell Rep 2016;17(10):2562-2571. doi: 10.1016/j.celrep.2016.11.011. PMID: 27926861</w:t>
      </w:r>
    </w:p>
    <w:p>
      <w:r>
        <w:t>9. Novakovic B, Habibi E, Wang SY, et al. Beta-glucan reverses the epigenetic state of LPS-induced immunological tolerance. Cell 2016;167(5):1354-1368. doi: 10.1016/j.cell.2016.09.034. PMID: 27863248</w:t>
      </w:r>
    </w:p>
    <w:p>
      <w:r>
        <w:t>10. Saeed S, Quintin J, Kerstens HH, et al. Epigenetic programming of monocyte-to-macrophage differentiation and trained innate immunity. Science 2014;345(6204):1251086. doi: 10.1126/science.1251086. PMID: 25258085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