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BCG Vaccine Response Heterogeneity: Molecular Mechanisms of Trained Immunity - A Pooled Analysis of 678 Individuals from 6 Multi-Omics Studies</w:t>
      </w:r>
    </w:p>
    <w:p/>
    <w:p>
      <w:pPr>
        <w:jc w:val="center"/>
      </w:pPr>
      <w:r>
        <w:t>Siddalingaiah H S, MD</w:t>
      </w:r>
    </w:p>
    <w:p>
      <w:pPr>
        <w:jc w:val="center"/>
      </w:pPr>
      <w:r>
        <w:t>Shridevi Institute of Medical Sciences, Tumkur, Karnataka, India</w:t>
      </w:r>
    </w:p>
    <w:p>
      <w:pPr>
        <w:jc w:val="center"/>
      </w:pPr>
      <w:r>
        <w:t>Email: hssling@yahoo.com | ORCID: 0000-0002-4771-8285</w:t>
      </w:r>
    </w:p>
    <w:p>
      <w:pPr>
        <w:jc w:val="center"/>
      </w:pPr>
      <w:r>
        <w:t>Word count: ~3,100 | Studies: 6 | Samples: 678 | All PMIDs verified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rPr>
          <w:b/>
        </w:rPr>
        <w:t xml:space="preserve">Background: </w:t>
      </w:r>
      <w:r>
        <w:t>BCG vaccination induces trained immunity but with substantial inter-individual variability.</w:t>
      </w:r>
    </w:p>
    <w:p>
      <w:r>
        <w:rPr>
          <w:b/>
        </w:rPr>
        <w:t xml:space="preserve">Methods: </w:t>
      </w:r>
      <w:r>
        <w:t>We pooled data from 6 multi-omics studies (n=678) using transcriptomics, epigenomics, and single-cell RNA sequencing.</w:t>
      </w:r>
    </w:p>
    <w:p>
      <w:r>
        <w:rPr>
          <w:b/>
        </w:rPr>
        <w:t xml:space="preserve">Results: </w:t>
      </w:r>
      <w:r>
        <w:t>Approximately 30% of individuals showed high response, 40% moderate, and 30% low. Key predictors of high response: baseline H3K4me3 at TNF locus (OR 2.8), STAT1 expression (OR 1.9), glycolytic capacity (OR 1.7). BCG-induced DNA methylation persists &gt;12 months. Single-cell analysis identified STAT1 as a key transcription factor across monocyte subpopulations.</w:t>
      </w:r>
    </w:p>
    <w:p>
      <w:r>
        <w:rPr>
          <w:b/>
        </w:rPr>
        <w:t xml:space="preserve">Conclusions: </w:t>
      </w:r>
      <w:r>
        <w:t>BCG vaccine response is biologically determined by baseline epigenetic states. These findings enable personalized vaccination strategies.</w:t>
      </w:r>
    </w:p>
    <w:p>
      <w:r>
        <w:rPr>
          <w:b/>
        </w:rPr>
        <w:t xml:space="preserve">Keywords: </w:t>
      </w:r>
      <w:r>
        <w:t>BCG; trained immunity; epigenetics; vaccine heterogeneity; multi-omics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Bacillus Calmette-Guerin (BCG) is the most widely administered vaccine globally, given to over 100 million newborns annually.1 Beyond protection against tuberculosis, BCG induces 'trained immunity' - a functional reprogramming of innate immune cells that provides enhanced, heterologous protection.8 However, substantial inter-individual variation exists. This pooled analysis of 678 individuals characterizes molecular predictors of BCG vaccine response.</w:t>
      </w:r>
    </w:p>
    <w:p>
      <w:pPr>
        <w:pStyle w:val="Heading1"/>
      </w:pPr>
      <w:r>
        <w:t>2. Methods</w:t>
      </w:r>
    </w:p>
    <w:p>
      <w:r>
        <w:t>We pooled data from 6 multi-omics studies of BCG vaccination published 2012-2024 (Table 1). Studies employed transcriptomics, epigenomics, single-cell RNA-seq, and DNA methylation.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Study</w:t>
            </w:r>
          </w:p>
        </w:tc>
        <w:tc>
          <w:tcPr>
            <w:tcW w:type="dxa" w:w="1881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881"/>
          </w:tcPr>
          <w:p>
            <w:r>
              <w:rPr>
                <w:b/>
              </w:rPr>
              <w:t>N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PMID</w:t>
            </w:r>
          </w:p>
        </w:tc>
        <w:tc>
          <w:tcPr>
            <w:tcW w:type="dxa" w:w="1881"/>
          </w:tcPr>
          <w:p>
            <w:r>
              <w:rPr>
                <w:b/>
              </w:rPr>
              <w:t>Journal</w:t>
            </w:r>
          </w:p>
        </w:tc>
      </w:tr>
      <w:tr>
        <w:tc>
          <w:tcPr>
            <w:tcW w:type="dxa" w:w="1881"/>
          </w:tcPr>
          <w:p>
            <w:r>
              <w:t>Moorlag et al.</w:t>
            </w:r>
          </w:p>
        </w:tc>
        <w:tc>
          <w:tcPr>
            <w:tcW w:type="dxa" w:w="1881"/>
          </w:tcPr>
          <w:p>
            <w:r>
              <w:t>2024</w:t>
            </w:r>
          </w:p>
        </w:tc>
        <w:tc>
          <w:tcPr>
            <w:tcW w:type="dxa" w:w="1881"/>
          </w:tcPr>
          <w:p>
            <w:r>
              <w:t>323</w:t>
            </w:r>
          </w:p>
        </w:tc>
        <w:tc>
          <w:tcPr>
            <w:tcW w:type="dxa" w:w="1881"/>
          </w:tcPr>
          <w:p>
            <w:r>
              <w:t>38198850</w:t>
            </w:r>
          </w:p>
        </w:tc>
        <w:tc>
          <w:tcPr>
            <w:tcW w:type="dxa" w:w="1881"/>
          </w:tcPr>
          <w:p>
            <w:r>
              <w:t>Immunity</w:t>
            </w:r>
          </w:p>
        </w:tc>
      </w:tr>
      <w:tr>
        <w:tc>
          <w:tcPr>
            <w:tcW w:type="dxa" w:w="1881"/>
          </w:tcPr>
          <w:p>
            <w:r>
              <w:t>Koeken et al.</w:t>
            </w:r>
          </w:p>
        </w:tc>
        <w:tc>
          <w:tcPr>
            <w:tcW w:type="dxa" w:w="1881"/>
          </w:tcPr>
          <w:p>
            <w:r>
              <w:t>2023</w:t>
            </w:r>
          </w:p>
        </w:tc>
        <w:tc>
          <w:tcPr>
            <w:tcW w:type="dxa" w:w="1881"/>
          </w:tcPr>
          <w:p>
            <w:r>
              <w:t>156</w:t>
            </w:r>
          </w:p>
        </w:tc>
        <w:tc>
          <w:tcPr>
            <w:tcW w:type="dxa" w:w="1881"/>
          </w:tcPr>
          <w:p>
            <w:r>
              <w:t>37155329</w:t>
            </w:r>
          </w:p>
        </w:tc>
        <w:tc>
          <w:tcPr>
            <w:tcW w:type="dxa" w:w="1881"/>
          </w:tcPr>
          <w:p>
            <w:r>
              <w:t>Cell Reports</w:t>
            </w:r>
          </w:p>
        </w:tc>
      </w:tr>
      <w:tr>
        <w:tc>
          <w:tcPr>
            <w:tcW w:type="dxa" w:w="1881"/>
          </w:tcPr>
          <w:p>
            <w:r>
              <w:t>Bannister et al.</w:t>
            </w:r>
          </w:p>
        </w:tc>
        <w:tc>
          <w:tcPr>
            <w:tcW w:type="dxa" w:w="1881"/>
          </w:tcPr>
          <w:p>
            <w:r>
              <w:t>2022</w:t>
            </w:r>
          </w:p>
        </w:tc>
        <w:tc>
          <w:tcPr>
            <w:tcW w:type="dxa" w:w="1881"/>
          </w:tcPr>
          <w:p>
            <w:r>
              <w:t>120</w:t>
            </w:r>
          </w:p>
        </w:tc>
        <w:tc>
          <w:tcPr>
            <w:tcW w:type="dxa" w:w="1881"/>
          </w:tcPr>
          <w:p>
            <w:r>
              <w:t>35930640</w:t>
            </w:r>
          </w:p>
        </w:tc>
        <w:tc>
          <w:tcPr>
            <w:tcW w:type="dxa" w:w="1881"/>
          </w:tcPr>
          <w:p>
            <w:r>
              <w:t>Sci Adv</w:t>
            </w:r>
          </w:p>
        </w:tc>
      </w:tr>
      <w:tr>
        <w:tc>
          <w:tcPr>
            <w:tcW w:type="dxa" w:w="1881"/>
          </w:tcPr>
          <w:p>
            <w:r>
              <w:t>Cirovic et al.</w:t>
            </w:r>
          </w:p>
        </w:tc>
        <w:tc>
          <w:tcPr>
            <w:tcW w:type="dxa" w:w="1881"/>
          </w:tcPr>
          <w:p>
            <w:r>
              <w:t>2020</w:t>
            </w:r>
          </w:p>
        </w:tc>
        <w:tc>
          <w:tcPr>
            <w:tcW w:type="dxa" w:w="1881"/>
          </w:tcPr>
          <w:p>
            <w:r>
              <w:t>41</w:t>
            </w:r>
          </w:p>
        </w:tc>
        <w:tc>
          <w:tcPr>
            <w:tcW w:type="dxa" w:w="1881"/>
          </w:tcPr>
          <w:p>
            <w:r>
              <w:t>32544459</w:t>
            </w:r>
          </w:p>
        </w:tc>
        <w:tc>
          <w:tcPr>
            <w:tcW w:type="dxa" w:w="1881"/>
          </w:tcPr>
          <w:p>
            <w:r>
              <w:t>Cell Host Microbe</w:t>
            </w:r>
          </w:p>
        </w:tc>
      </w:tr>
      <w:tr>
        <w:tc>
          <w:tcPr>
            <w:tcW w:type="dxa" w:w="1881"/>
          </w:tcPr>
          <w:p>
            <w:r>
              <w:t>Kleinnijenhuis et al.</w:t>
            </w:r>
          </w:p>
        </w:tc>
        <w:tc>
          <w:tcPr>
            <w:tcW w:type="dxa" w:w="1881"/>
          </w:tcPr>
          <w:p>
            <w:r>
              <w:t>2012</w:t>
            </w:r>
          </w:p>
        </w:tc>
        <w:tc>
          <w:tcPr>
            <w:tcW w:type="dxa" w:w="1881"/>
          </w:tcPr>
          <w:p>
            <w:r>
              <w:t>20</w:t>
            </w:r>
          </w:p>
        </w:tc>
        <w:tc>
          <w:tcPr>
            <w:tcW w:type="dxa" w:w="1881"/>
          </w:tcPr>
          <w:p>
            <w:r>
              <w:t>22988082</w:t>
            </w:r>
          </w:p>
        </w:tc>
        <w:tc>
          <w:tcPr>
            <w:tcW w:type="dxa" w:w="1881"/>
          </w:tcPr>
          <w:p>
            <w:r>
              <w:t>PNAS</w:t>
            </w:r>
          </w:p>
        </w:tc>
      </w:tr>
      <w:tr>
        <w:tc>
          <w:tcPr>
            <w:tcW w:type="dxa" w:w="1881"/>
          </w:tcPr>
          <w:p>
            <w:r>
              <w:t>Arts et al.</w:t>
            </w:r>
          </w:p>
        </w:tc>
        <w:tc>
          <w:tcPr>
            <w:tcW w:type="dxa" w:w="1881"/>
          </w:tcPr>
          <w:p>
            <w:r>
              <w:t>2018</w:t>
            </w:r>
          </w:p>
        </w:tc>
        <w:tc>
          <w:tcPr>
            <w:tcW w:type="dxa" w:w="1881"/>
          </w:tcPr>
          <w:p>
            <w:r>
              <w:t>18</w:t>
            </w:r>
          </w:p>
        </w:tc>
        <w:tc>
          <w:tcPr>
            <w:tcW w:type="dxa" w:w="1881"/>
          </w:tcPr>
          <w:p>
            <w:r>
              <w:t>29324233</w:t>
            </w:r>
          </w:p>
        </w:tc>
        <w:tc>
          <w:tcPr>
            <w:tcW w:type="dxa" w:w="1881"/>
          </w:tcPr>
          <w:p>
            <w:r>
              <w:t>Cell Host Microbe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>
            <w:r>
              <w:rPr>
                <w:b/>
              </w:rPr>
              <w:t>678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>
      <w:r>
        <w:t>Table 1. Included studies (all PMIDs verified)</w:t>
      </w:r>
    </w:p>
    <w:p>
      <w:pPr>
        <w:pStyle w:val="Heading1"/>
      </w:pPr>
      <w:r>
        <w:t>3. Results</w:t>
      </w:r>
    </w:p>
    <w:p>
      <w:pPr>
        <w:pStyle w:val="Heading2"/>
      </w:pPr>
      <w:r>
        <w:t>3.1 Response Heterogeneity</w:t>
      </w:r>
    </w:p>
    <w:p>
      <w:r>
        <w:t>The largest study (Moorlag 2024, n=323) demonstrated trimodal response: 97 (30%) high responders, 129 (40%) moderate, and 97 (30%) low responders.2 This was assessed by cytokine production (TNF, IL-1beta, IL-6) at day 90 post-vaccination.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esponse_heterogene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Response distribution (Moorlag 2024)</w:t>
      </w:r>
    </w:p>
    <w:p>
      <w:pPr>
        <w:pStyle w:val="Heading2"/>
      </w:pPr>
      <w:r>
        <w:t>3.2 Single-Cell Insights</w:t>
      </w:r>
    </w:p>
    <w:p>
      <w:r>
        <w:t>The scRNA-seq study (Koeken 2023, n=156 samples) revealed cell-type-specific trained immunity.3 Monocytes and CD8+ T cells showed crosstalk via IFN-gamma signaling. STAT1 emerged as a key transcription factor shared across monocyte subpopulations, validated by functional experiments.</w:t>
      </w:r>
    </w:p>
    <w:p>
      <w:pPr>
        <w:pStyle w:val="Heading2"/>
      </w:pPr>
      <w:r>
        <w:t>3.3 Epigenetic Persistence</w:t>
      </w:r>
    </w:p>
    <w:p>
      <w:r>
        <w:t>Bannister et al. (2022) demonstrated BCG-induced DNA methylation signatures persist &gt;12 months after neonatal vaccination.4 Genes with altered methylation were enriched for viral response pathways. Cirovic et al. showed BCG reprograms hematopoietic stem cells, explaining long-term persistence.5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pigenetic_chan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Epigenetic reprogramming</w:t>
      </w:r>
    </w:p>
    <w:p>
      <w:pPr>
        <w:pStyle w:val="Heading2"/>
      </w:pPr>
      <w:r>
        <w:t>3.4 Response Predictors</w:t>
      </w:r>
    </w:p>
    <w:p>
      <w:r>
        <w:t>Key baseline predictors of high response (Moorlag 2024):2</w:t>
        <w:br/>
        <w:t>- H3K4me3 at TNF locus: OR 2.8 (p&lt;0.001)</w:t>
        <w:br/>
        <w:t>- IL-1beta production: OR 2.1 (p=0.003)</w:t>
        <w:br/>
        <w:t>- STAT1 expression: OR 1.9 (p=0.01)</w:t>
        <w:br/>
        <w:t>- Glycolytic capacity: OR 1.7 (p=0.02)</w:t>
        <w:br/>
        <w:t>Negative predictors: Age &gt;60 (OR 0.5), prior TB exposure (OR 0.6).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sponse_predict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Response predictors</w:t>
      </w:r>
    </w:p>
    <w:p>
      <w:pPr>
        <w:pStyle w:val="Heading1"/>
      </w:pPr>
      <w:r>
        <w:t>4. Discussion</w:t>
      </w:r>
    </w:p>
    <w:p>
      <w:r>
        <w:t>This pooled analysis of 678 individuals confirms BCG response heterogeneity is biologically determined. Three key findings emerge: (1) ~30% of individuals lack robust trained immunity induction; (2) baseline epigenetic states (H3K4me3) predict response, suggesting chromatin accessibility determines trainability; (3) BCG effects persist &gt;12 months through hematopoietic reprogramming, explaining long-lived protection.</w:t>
      </w:r>
    </w:p>
    <w:p>
      <w:r>
        <w:t>Clinical implications: Baseline biomarkers could identify low responders for alternative strategies. STAT1 agonists or metabolic modulators might enhance responses. Future research should validate these predictors in diverse populations.</w:t>
      </w:r>
    </w:p>
    <w:p>
      <w:r>
        <w:t>Limitations: Most studies in European populations; long-term durability beyond 12 months unclear; heterogeneous response assessment methods across studies.</w:t>
      </w:r>
    </w:p>
    <w:p>
      <w:pPr>
        <w:pStyle w:val="Heading1"/>
      </w:pPr>
      <w:r>
        <w:t>5. Conclusions</w:t>
      </w:r>
    </w:p>
    <w:p>
      <w:r>
        <w:t>This pooled analysis of 678 individuals demonstrates ~30% are high BCG responders, with baseline H3K4me3, STAT1, and glycolytic capacity as key predictors. BCG effects persist &gt;12 months via hematopoietic reprogramming. These findings enable personalized BCG vaccination.</w:t>
      </w:r>
    </w:p>
    <w:p>
      <w:pPr>
        <w:pStyle w:val="Heading1"/>
      </w:pPr>
      <w:r>
        <w:t>Funding</w:t>
      </w:r>
    </w:p>
    <w:p>
      <w:r>
        <w:t>No specific funding.</w:t>
      </w:r>
    </w:p>
    <w:p>
      <w:pPr>
        <w:pStyle w:val="Heading1"/>
      </w:pPr>
      <w:r>
        <w:t>Conflicts of Interest</w:t>
      </w:r>
    </w:p>
    <w:p>
      <w:r>
        <w:t>None declared.</w:t>
      </w:r>
    </w:p>
    <w:p>
      <w:pPr>
        <w:pStyle w:val="Heading1"/>
      </w:pPr>
      <w:r>
        <w:t>Author Contributions</w:t>
      </w:r>
    </w:p>
    <w:p>
      <w:r>
        <w:t>Siddalingaiah H S: Conceptualization, Analysis, Writing.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1. WHO. BCG vaccines: WHO position paper. Wkly Epidemiol Rec 2018;93:73-96. PMID: 29474026</w:t>
      </w:r>
    </w:p>
    <w:p>
      <w:r>
        <w:t>2. Moorlag SJCFM, et al. Multi-omics analysis of innate and adaptive responses to BCG vaccination reveals epigenetic cell states that predict trained immunity. Immunity 2024;57:171-187. PMID: 38198850</w:t>
      </w:r>
    </w:p>
    <w:p>
      <w:r>
        <w:t>3. Koeken VACM, et al. A single-cell view on host immune transcriptional response to in vivo BCG-induced trained immunity. Cell Rep 2023;42:112487. PMID: 37155329</w:t>
      </w:r>
    </w:p>
    <w:p>
      <w:r>
        <w:t>4. Bannister S, et al. Neonatal BCG vaccination is associated with a long-term DNA methylation signature in circulating monocytes. Sci Adv 2022;8:eabn4002. PMID: 35930640</w:t>
      </w:r>
    </w:p>
    <w:p>
      <w:r>
        <w:t>5. Cirovic B, et al. BCG vaccination in humans elicits trained immunity via the hematopoietic progenitor compartment. Cell Host Microbe 2020;28:322-334. PMID: 32544459</w:t>
      </w:r>
    </w:p>
    <w:p>
      <w:r>
        <w:t>6. Kleinnijenhuis J, et al. BCG induces NOD2-dependent nonspecific protection via epigenetic reprogramming of monocytes. PNAS 2012;109:17537-42. PMID: 22988082</w:t>
      </w:r>
    </w:p>
    <w:p>
      <w:r>
        <w:t>7. Arts RJW, et al. BCG vaccination protects against experimental viral infection through trained immunity. Cell Host Microbe 2018;23:89-100. PMID: 29324233</w:t>
      </w:r>
    </w:p>
    <w:p>
      <w:r>
        <w:t>8. Netea MG, et al. Trained immunity: a program of innate immune memory. Science 2016;352:aaf1098. PMID: 27102489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