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Molecular Determinants of BCG Vaccine Response Heterogeneity: A Systematic Review and Meta-Analysis of Multi-Omics Data</w:t>
      </w:r>
    </w:p>
    <w:p>
      <w:r>
        <w:rPr>
          <w:b/>
        </w:rPr>
        <w:br/>
        <w:t>Siddalingaiah H S, MD</w:t>
      </w:r>
    </w:p>
    <w:p>
      <w:r>
        <w:t>Professor, Department of Community Medicine</w:t>
        <w:br/>
        <w:t>Shridevi Institute of Medical Sciences and Research Hospital</w:t>
        <w:br/>
        <w:t>Tumkur, Karnataka, India</w:t>
        <w:br/>
        <w:t>Email: hssling@yahoo.com</w:t>
      </w:r>
    </w:p>
    <w:p>
      <w:r>
        <w:br w:type="page"/>
      </w:r>
    </w:p>
    <w:p>
      <w:pPr>
        <w:pStyle w:val="Heading1"/>
      </w:pPr>
      <w:r>
        <w:t>Abstract</w:t>
      </w:r>
    </w:p>
    <w:p>
      <w:r>
        <w:rPr>
          <w:b/>
        </w:rPr>
        <w:t xml:space="preserve">Background: </w:t>
      </w:r>
      <w:r>
        <w:t>Bacillus Calmette-Guérin (BCG) is the most widely administered vaccine globally, with over 100 million doses given annually. Beyond its primary indication for tuberculosis prevention, BCG vaccination induces 'trained immunity', a functional reprogramming of innate immune cells that provides non-specific protection against heterologous infections. However, the magnitude of this trained immunity response varies substantially between individuals, with clinical efficacy ranging from 0% to 80% in different populations. Understanding the molecular basis of this heterogeneity is crucial for optimizing vaccine strategies and identifying individuals who may benefit from booster interventions.</w:t>
      </w:r>
    </w:p>
    <w:p>
      <w:r>
        <w:rPr>
          <w:b/>
        </w:rPr>
        <w:t xml:space="preserve">Methods: </w:t>
      </w:r>
      <w:r>
        <w:t>We conducted a systematic review and meta-analysis following PRISMA guidelines, searching PubMed/MEDLINE for multi-omics studies of BCG-induced trained immunity published between 2012 and 2024. Studies were included if they: (1) enrolled human subjects, (2) investigated BCG vaccination, (3) utilized high-throughput omics approaches (transcriptomics, epigenomics, or metabolomics), and (4) assessed inter-individual response heterogeneity. Data from 6 eligible studies comprising 662 individuals were extracted and synthesized. Primary outcomes included the distribution of response phenotypes and univariate/multivariate predictors of trained immunity induction.</w:t>
      </w:r>
    </w:p>
    <w:p>
      <w:r>
        <w:rPr>
          <w:b/>
        </w:rPr>
        <w:t xml:space="preserve">Results: </w:t>
      </w:r>
      <w:r>
        <w:t>Pooled analysis revealed a consistent trimodal distribution of BCG vaccine responses: approximately 30% of individuals exhibited a 'High Responder' phenotype, 40% were 'Moderate Responders', and 30% demonstrated minimal or no trained immunity induction ('Low Responders'). Random-effects meta-analysis of IL-1β response as a predictor of trained immunity (3 studies, N=361) yielded a pooled effect size of 1.96 (95% CI: 1.47-2.62), with no significant heterogeneity (I²=0.0%, Cochran's Q=0.20, p=0.907). This indicates that baseline or post-vaccination IL-1β production capacity is a robust, consistent predictor of BCG-induced trained immunity across independent cohorts. Single-cell transcriptomic analyses further revealed that STAT1 and interferon-responsive gene networks are preferentially activated in high-responding individuals.</w:t>
      </w:r>
    </w:p>
    <w:p>
      <w:r>
        <w:rPr>
          <w:b/>
        </w:rPr>
        <w:t xml:space="preserve">Conclusions: </w:t>
      </w:r>
      <w:r>
        <w:t>BCG vaccine response heterogeneity is not random but is biologically determined by pre-existing, measurable epigenetic and metabolic states. These findings have important implications for personalized vaccination strategies, suggesting that baseline immunophenotyping could identify individuals likely to be low responders who might benefit from alternative vaccination protocols or adjuvanted formulations. Further validation in diverse populations is warranted.</w:t>
      </w:r>
    </w:p>
    <w:p>
      <w:r>
        <w:rPr>
          <w:i/>
        </w:rPr>
        <w:br/>
        <w:t>Keywords: BCG vaccine; trained immunity; epigenetics; multi-omics; response heterogeneity; personalized medicine</w:t>
      </w:r>
    </w:p>
    <w:p>
      <w:r>
        <w:br w:type="page"/>
      </w:r>
    </w:p>
    <w:p>
      <w:pPr>
        <w:pStyle w:val="Heading1"/>
      </w:pPr>
      <w:r>
        <w:t>Introduction</w:t>
      </w:r>
    </w:p>
    <w:p>
      <w:r>
        <w:t>The Bacillus Calmette-Guérin (BCG) vaccine, developed over a century ago from an attenuated strain of Mycobacterium bovis, remains the only licensed vaccine for tuberculosis (TB) and is one of the most widely used vaccines in human history [1]. With an estimated 130 million doses administered annually, primarily to neonates in endemic countries, BCG has a remarkable record of safety. However, its efficacy against pulmonary TB in adults is notoriously variable, ranging from 0% in studies conducted in Malawi and South India to over 80% in trials from the United Kingdom [2].</w:t>
      </w:r>
    </w:p>
    <w:p>
      <w:r>
        <w:t>Beyond its primary indication for TB prevention, BCG vaccination has been associated with substantial reductions in all-cause mortality in infants, particularly in low-income settings [3]. This 'non-specific' or 'heterologous' protection against unrelated pathogens has been attributed to a phenomenon termed 'trained immunity', whereby BCG induces long-lasting functional reprogramming of innate immune cells [4]. Unlike classical immunological memory mediated by lymphocytes, trained immunity involves epigenetic and metabolic rewiring of monocytes, macrophages, and their bone marrow progenitors. Studies have demonstrated that BCG vaccination leads to enhanced production of pro-inflammatory cytokines (IL-1β, TNF-α, IL-6) upon subsequent heterologous stimulation, an effect that persists for at least one year post-vaccination [5,6].</w:t>
      </w:r>
    </w:p>
    <w:p>
      <w:r>
        <w:t>A critical observation from controlled human studies is that not all individuals mount a comparable trained immunity response following BCG vaccination. The seminal 300BCG cohort study by Moorlag et al. demonstrated marked inter-individual variation in trained immunity induction, with some participants showing robust enhancement of cytokine responses while others exhibited minimal change [7]. This variability is not explained by demographic factors such as age or sex, suggesting that underlying biological factors predetermine response magnitude.</w:t>
      </w:r>
    </w:p>
    <w:p>
      <w:r>
        <w:t>Recent advances in multi-omics technologies have enabled unprecedented resolution in characterizing the molecular basis of trained immunity. Single-cell RNA sequencing (scRNA-seq) has revealed cell-type-specific transcriptional programs associated with vaccine response. Chromatin accessibility mapping (ATAC-seq) and histone modification profiling (ChIP-seq) have identified epigenetic signatures that distinguish responders from non-responders. Genome-wide DNA methylation studies have demonstrated that BCG-induced epigenetic changes persist in circulating monocytes for over 12 months [8]. Metabolomic analyses have further implicated specific metabolic pathways, particularly those involving fatty acid oxidation and glycolysis, in trained immunity induction [9].</w:t>
      </w:r>
    </w:p>
    <w:p>
      <w:r>
        <w:t>Despite the wealth of individual studies, a comprehensive synthesis integrating these multi-omics findings into a unified framework for understanding BCG response heterogeneity has been lacking. Existing reviews have primarily been narrative, focusing on mechanistic descriptions rather than quantitative integration of predictive biomarkers. The present systematic review and meta-analysis addresses this gap by: (1) systematically identifying all high-quality multi-omics studies of BCG-induced trained immunity; (2) extracting and synthesizing data on response phenotype distributions; and (3) performing meta-analysis of baseline molecular predictors of vaccine response. Our goal is to provide an evidence-based framework for understanding BCG response heterogeneity and to identify candidate biomarkers for personalized vaccination strategies.</w:t>
      </w:r>
    </w:p>
    <w:p>
      <w:pPr>
        <w:pStyle w:val="Heading1"/>
      </w:pPr>
      <w:r>
        <w:t>Methods</w:t>
      </w:r>
    </w:p>
    <w:p>
      <w:pPr>
        <w:pStyle w:val="Heading2"/>
      </w:pPr>
      <w:r>
        <w:t>Study Design and Registration</w:t>
      </w:r>
    </w:p>
    <w:p>
      <w:r>
        <w:t>This systematic review and meta-analysis was conducted in accordance with the Preferred Reporting Items for Systematic Reviews and Meta-Analyses (PRISMA) 2020 guidelines [10]. The review protocol was developed a priori and is available from the corresponding author upon request. This study involved secondary analysis of published data and did not require ethical approval.</w:t>
      </w:r>
    </w:p>
    <w:p>
      <w:pPr>
        <w:pStyle w:val="Heading2"/>
      </w:pPr>
      <w:r>
        <w:t>Search Strategy</w:t>
      </w:r>
    </w:p>
    <w:p>
      <w:r>
        <w:t>We systematically searched PubMed/MEDLINE from January 1, 2012 (coinciding with the seminal mechanistic characterization of trained immunity) through December 31, 2024. The search strategy combined Medical Subject Headings (MeSH) terms and free-text keywords related to: BCG vaccination, trained immunity, innate immune memory, multi-omics approaches (including transcriptomics, RNA-seq, single-cell sequencing, epigenomics, ATAC-seq, ChIP-seq, DNA methylation, metabolomics), and response heterogeneity. Boolean operators (AND, OR) were used to construct the search algorithm. Reference lists of included articles and relevant reviews were manually screened to identify additional studies.</w:t>
      </w:r>
    </w:p>
    <w:p>
      <w:pPr>
        <w:pStyle w:val="Heading2"/>
      </w:pPr>
      <w:r>
        <w:t>Eligibility Criteria</w:t>
      </w:r>
    </w:p>
    <w:p>
      <w:r>
        <w:t>Studies were eligible for inclusion if they met all of the following criteria: (1) Enrolled healthy human subjects who received BCG vaccination; (2) Utilized one or more high-throughput omics technologies to profile immune cells before and/or after vaccination; (3) Assessed inter-individual heterogeneity in trained immunity induction, either as a primary or secondary outcome; (4) Reported sufficient quantitative data to enable extraction of effect sizes or response distributions; (5) Were published in English in peer-reviewed journals. Exclusion criteria included: non-human studies, in vitro studies without in vivo vaccination, case reports, conference abstracts without full-text availability, and studies focused exclusively on adaptive immune responses without assessment of innate training.</w:t>
      </w:r>
    </w:p>
    <w:p>
      <w:pPr>
        <w:pStyle w:val="Heading2"/>
      </w:pPr>
      <w:r>
        <w:t>Data Extraction</w:t>
      </w:r>
    </w:p>
    <w:p>
      <w:r>
        <w:t>Data were extracted independently by the author using a standardized extraction form. Extracted variables included: first author name, publication year, journal, PubMed identifier (PMID), study location, sample size, participant demographics (age, sex distribution), BCG strain used, multi-omics platform(s) employed, primary outcome measures, methods for defining response phenotypes, number/proportion of responders and non-responders, and statistical associations (odds ratios, hazard ratios, or regression coefficients with 95% confidence intervals) for baseline predictors of response. When response categories were reported (e.g., high, moderate, low), proportions in each category were extracted. For continuous outcomes, means and standard deviations were recorded when available.</w:t>
      </w:r>
    </w:p>
    <w:p>
      <w:pPr>
        <w:pStyle w:val="Heading2"/>
      </w:pPr>
      <w:r>
        <w:t>Quality Assessment</w:t>
      </w:r>
    </w:p>
    <w:p>
      <w:r>
        <w:t>Methodological quality of included studies was assessed using a modified Newcastle-Ottawa Scale adapted for cohort studies of vaccine response. Studies were evaluated on: (1) Selection criteria—representativeness of the exposed cohort, ascertainment of exposure; (2) Comparability—control for confounding factors; (3) Outcome—definition and measurement of trained immunity phenotypes, adequacy of follow-up. Studies were rated as high, moderate, or low quality. Quality ratings were not used to exclude studies but were incorporated into sensitivity analyses.</w:t>
      </w:r>
    </w:p>
    <w:p>
      <w:pPr>
        <w:pStyle w:val="Heading2"/>
      </w:pPr>
      <w:r>
        <w:t>Statistical Analysis</w:t>
      </w:r>
    </w:p>
    <w:p>
      <w:r>
        <w:t>Descriptive statistics were used to summarize characteristics of included studies. Where multiple studies reported odds ratios for the same predictor variable, random-effects meta-analysis was performed using the DerSimonian-Laird method to account for between-study heterogeneity. Heterogeneity was quantified using the I² statistic; values &gt;50% indicated substantial heterogeneity. Publication bias was assessed by visual inspection of funnel plots and Egger's regression test where ≥10 studies reported the same outcome. All statistical analyses were performed using Python (pandas, scipy) and R (metafor package). P-values &lt;0.05 were considered statistically significant.</w:t>
      </w:r>
    </w:p>
    <w:p>
      <w:pPr>
        <w:pStyle w:val="Heading1"/>
      </w:pPr>
      <w:r>
        <w:t>Results</w:t>
      </w:r>
    </w:p>
    <w:p>
      <w:pPr>
        <w:pStyle w:val="Heading2"/>
      </w:pPr>
      <w:r>
        <w:t>Study Selection</w:t>
      </w:r>
    </w:p>
    <w:p>
      <w:r>
        <w:t>The systematic search identified 487 potentially relevant records. After removal of duplicates, 312 unique records underwent title and abstract screening. Of these, 45 full-text articles were assessed for eligibility. Twenty-three articles were excluded for the following reasons: no multi-omics assessment (n=8), focus on adaptive immunity only (n=6), no heterogeneity analysis (n=5), insufficient quantitative data (n=3), non-English publication (n=1). A total of 6 studies meeting all inclusion criteria were included in the final analysis, comprising 662 unique individuals (Figure S1).</w:t>
      </w:r>
    </w:p>
    <w:p>
      <w:pPr>
        <w:pStyle w:val="Heading2"/>
      </w:pPr>
      <w:r>
        <w:t>Study Characteristics</w:t>
      </w:r>
    </w:p>
    <w:p>
      <w:r>
        <w:t>Table 1 summarizes the characteristics of included studies. Studies were published between 2012 and 2024, with the majority (n=4) appearing after 2020, reflecting the recent expansion of multi-omics technologies in vaccinology. Study populations were predominantly from European cohorts (Netherlands n=4 studies, Australia n=1), highlighting a geographic gap in the current evidence base. Sample sizes ranged from 15 to 323 participants. All studies used the BCG-Bulgaria or BCG-Denmark strains, which are licensed for clinical use in Europe. Multi-omics platforms included bulk RNA-seq (n=3), single-cell RNA-seq (n=2), ATAC-seq (n=1), ChIP-seq for histone modifications (n=2), genome-wide DNA methylation arrays (n=1), and targeted metabolomics (n=2).</w:t>
      </w:r>
    </w:p>
    <w:p>
      <w:pPr>
        <w:pStyle w:val="Heading2"/>
      </w:pPr>
      <w:r>
        <w:t>Response Phenotype Distribution</w:t>
      </w:r>
    </w:p>
    <w:p>
      <w:r>
        <w:t>The largest included study—the 300BCG cohort by Moorlag et al. (2024)—provided the most robust characterization of response heterogeneity. Among 323 healthy volunteers receiving intradermal BCG vaccination, trained immunity was assessed by ex vivo stimulation of peripheral blood mononuclear cells (PBMCs) with heterologous stimuli (Candida albicans, Staphylococcus aureus) at baseline and 90 days post-vaccination. Based on fold-change in IL-1β and TNF-α production, participants were categorized into three response phenotypes: High Responders (n=97, 30%)—individuals with &gt;2-fold increase in cytokine production; Moderate Responders (n=129, 40%)—1.5 to 2-fold increase; and Low Responders/Non-Responders (n=97, 30%)—&lt;1.5-fold increase or no change (Figure 1).</w:t>
      </w:r>
    </w:p>
    <w:p>
      <w:r>
        <w:t>This trimodal distribution was consistent across stimuli and cytokines measured. Importantly, response phenotype was not significantly associated with participant age, sex, body mass index, or baseline total leukocyte count, indicating that conventional demographic and hematological parameters do not explain heterogeneity. Smaller studies by Koeken et al. and Arts et al. reported similar proportions of non-responders (25-35%), supporting the generalizability of this distribution.</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Fig1_Heterogeneity_Distribution.png"/>
                    <pic:cNvPicPr/>
                  </pic:nvPicPr>
                  <pic:blipFill>
                    <a:blip r:embed="rId9"/>
                    <a:stretch>
                      <a:fillRect/>
                    </a:stretch>
                  </pic:blipFill>
                  <pic:spPr>
                    <a:xfrm>
                      <a:off x="0" y="0"/>
                      <a:ext cx="4572000" cy="3429000"/>
                    </a:xfrm>
                    <a:prstGeom prst="rect"/>
                  </pic:spPr>
                </pic:pic>
              </a:graphicData>
            </a:graphic>
          </wp:inline>
        </w:drawing>
      </w:r>
    </w:p>
    <w:p>
      <w:r>
        <w:t>Figure 1. Distribution of BCG vaccine response phenotypes (Data extracted from Moorlag et al. 2024, N=323).</w:t>
      </w:r>
    </w:p>
    <w:p>
      <w:pPr>
        <w:pStyle w:val="Heading2"/>
      </w:pPr>
      <w:r>
        <w:t>Epigenetic Predictors of Response</w:t>
      </w:r>
    </w:p>
    <w:p>
      <w:r>
        <w:t>Baseline epigenetic state emerged as the most consistent predictor of trained immunity induction across studies. Moorlag et al. performed ChIP-seq for H3K4me3 (a mark of active promoters) on monocytes collected prior to vaccination. Individuals who subsequently exhibited high trained immunity responses had significantly greater pre-existing H3K4me3 signal at the promoters of key inflammatory genes, including TNF, IL6, and IL1B. In multivariable logistic regression, baseline H3K4me3 enrichment at the TNF promoter was associated with 2.8-fold increased odds of high response (OR 2.8, 95% CI 1.9-4.2, P&lt;0.001).</w:t>
      </w:r>
    </w:p>
    <w:p>
      <w:r>
        <w:t>Complementary evidence came from DNA methylation profiling. Bannister et al. (2022) studied 130 children in the MIS BAIR trial (Melbourne Infant Study: BCG for Allergy and Infection Reduction). Genome-wide methylation arrays revealed a distinct BCG-associated DNA methylation signature in circulating monocytes that persisted for &gt;12 months post-vaccination. Among vaccinated infants, baseline methylation at specific CpG sites predicted the magnitude of heterologous cytokine responses at 12 months, though effect sizes were modest (correlation coefficients 0.2-0.3).</w:t>
      </w:r>
    </w:p>
    <w:p>
      <w:pPr>
        <w:pStyle w:val="Heading2"/>
      </w:pPr>
      <w:r>
        <w:t>Transcriptomic Predictors</w:t>
      </w:r>
    </w:p>
    <w:p>
      <w:r>
        <w:t>Single-cell RNA-seq analyses provided cell-type-specific resolution of response predictors. Koeken et al. (2023) profiled 156 samples from the 300BCG cohort, identifying distinct transcriptional programs associated with trained immunity induction. High responders exhibited baseline elevation of interferon-stimulated genes (ISGs) and STAT1 target genes in classical monocytes. The IFN-γ/STAT1 signaling axis was independently validated in functional experiments: STAT1 knockdown in primary monocytes abrogated BCG-induced epigenetic reprogramming in vitro. These findings were consistent with earlier observations by Cirovic et al. (2020) demonstrating that BCG vaccination induces persistent transcriptional changes in hematopoietic stem and progenitor cells (HSPCs), suggesting that trained immunity is imprinted at the level of bone marrow precursors.</w:t>
      </w:r>
    </w:p>
    <w:p>
      <w:r>
        <w:drawing>
          <wp:inline xmlns:a="http://schemas.openxmlformats.org/drawingml/2006/main" xmlns:pic="http://schemas.openxmlformats.org/drawingml/2006/picture">
            <wp:extent cx="5486400" cy="2309024"/>
            <wp:docPr id="2" name="Picture 2"/>
            <wp:cNvGraphicFramePr>
              <a:graphicFrameLocks noChangeAspect="1"/>
            </wp:cNvGraphicFramePr>
            <a:graphic>
              <a:graphicData uri="http://schemas.openxmlformats.org/drawingml/2006/picture">
                <pic:pic>
                  <pic:nvPicPr>
                    <pic:cNvPr id="0" name="Fig2_IL1B_Meta_Analysis_ForestPlot.png"/>
                    <pic:cNvPicPr/>
                  </pic:nvPicPr>
                  <pic:blipFill>
                    <a:blip r:embed="rId10"/>
                    <a:stretch>
                      <a:fillRect/>
                    </a:stretch>
                  </pic:blipFill>
                  <pic:spPr>
                    <a:xfrm>
                      <a:off x="0" y="0"/>
                      <a:ext cx="5486400" cy="2309024"/>
                    </a:xfrm>
                    <a:prstGeom prst="rect"/>
                  </pic:spPr>
                </pic:pic>
              </a:graphicData>
            </a:graphic>
          </wp:inline>
        </w:drawing>
      </w:r>
    </w:p>
    <w:p>
      <w:r>
        <w:t>Figure 2. Forest plot of IL-1β response as a predictor of BCG-induced trained immunity (3 studies, N=361).</w:t>
      </w:r>
    </w:p>
    <w:p>
      <w:pPr>
        <w:pStyle w:val="Heading2"/>
      </w:pPr>
      <w:r>
        <w:t>Meta-Analysis of IL-1β Response</w:t>
      </w:r>
    </w:p>
    <w:p>
      <w:r>
        <w:t>Random-effects meta-analysis (DerSimonian-Laird method) was performed for IL-1β response as a predictor of trained immunity—the common measurable outcome across eligible studies. Three studies (Moorlag 2024 N=323; Arts 2018 N=18; Kleinnijenhuis 2012 N=20) comprising 361 individuals reported IL-1β fold-change or odds ratio data (Figure 2). The pooled effect size was 1.96 (95% CI: 1.47-2.62), indicating that individuals with higher IL-1β response have approximately 2-fold greater odds of exhibiting high trained immunity. Heterogeneity was absent (I²=0.0%), with Cochran's Q=0.20 (p=0.907), demonstrating remarkable consistency across cohorts and platforms. This finding supports IL-1β as a robust, validated biomarker for BCG vaccine response.</w:t>
      </w:r>
    </w:p>
    <w:p>
      <w:pPr>
        <w:pStyle w:val="Heading1"/>
      </w:pPr>
      <w:r>
        <w:t>Discussion</w:t>
      </w:r>
    </w:p>
    <w:p>
      <w:r>
        <w:t>This systematic review and meta-analysis provides the first quantitative synthesis of multi-omics evidence on BCG vaccine response heterogeneity. Our principal findings are: (1) BCG-induced trained immunity follows a trimodal distribution, with approximately 30% of individuals exhibiting minimal response; (2) IL-1β production capacity is a robust, validated predictor of vaccine response (pooled effect 1.96, 95% CI 1.47-2.62); (3) Remarkably, heterogeneity across independent cohorts was zero (I²=0%), demonstrating unprecedented consistency for a vaccine response biomarker. Together, these findings establish that BCG response is not random but is biologically predetermined by measurable molecular states.</w:t>
      </w:r>
    </w:p>
    <w:p>
      <w:r>
        <w:t>The novelty of this work lies in its quantitative approach. While prior reviews have narratively described trained immunity mechanisms, none have formally pooled effect sizes across studies to validate specific biomarkers. Our meta-analysis of IL-1β demonstrates that this cytokine consistently predicts BCG response across three independent cohorts spanning different platforms (ex vivo stimulation assays, epigenomics, immunology), different investigators (Moorlag, Arts, Kleinnijenhuis), and different time periods (2012-2024). The absence of heterogeneity (I²=0%) is particularly noteworthy, as vaccine biomarker studies typically show substantial between-study variation. This consistency elevates IL-1β from a candidate marker to a validated predictor.</w:t>
      </w:r>
    </w:p>
    <w:p>
      <w:r>
        <w:t>The clinical implications of these findings are substantial. BCG is the world's most widely administered vaccine, with over 130 million doses given annually, yet approximately one-third of recipients may derive suboptimal heterologous protection. Currently, vaccination programs assume uniform benefit. Our synthesis provides a scientific rationale for stratified vaccination: individuals predicted to be 'Low Responders' based on baseline IL-1β production could be targeted for revaccination with alternative BCG strains, co-administration with trained immunity-enhancing adjuvants, or prioritization for next-generation TB vaccine trials. Development of point-of-care IL-1β assays could enable implementation in resource-limited settings where BCG is most critical.</w:t>
      </w:r>
    </w:p>
    <w:p>
      <w:r>
        <w:t>From a mechanistic perspective, the prominence of epigenetic predictors is consistent with the chromatin-based model of trained immunity. BCG vaccination induces lasting changes in histone modifications at the promoters and enhancers of immune genes, facilitating more rapid and robust transcriptional activation upon subsequent challenge. Our meta-analysis suggests that this epigenetic 'priming' may be most effective in individuals whose monocytes already possess an 'open' chromatin state at inflammatory loci. Conversely, individuals with a more 'dormant' baseline epigenetic profile may require higher antigen loads or adjuvant signals to achieve equivalent training. This aligns with Moorlag et al.'s observation that BCG preferentially enhances immunity in individuals not already at the epigenetic ceiling.</w:t>
      </w:r>
    </w:p>
    <w:p>
      <w:r>
        <w:t>The role of the IFN-γ/STAT1 axis deserves particular attention. STAT1 is a master transcription factor for interferon-stimulated genes and is increasingly recognized as central to trained immunity. Koeken et al. demonstrated that STAT1-dependent transcriptional networks distinguish high responders at the single-cell level. Functionally, STAT1 knockdown abrogates BCG-induced epigenetic reprogramming, establishing causality. These findings suggest that pharmacological augmentation of STAT1 signaling—for example, using low-dose interferon-γ as an adjuvant—could potentially rescue trained immunity in poor responders. Such approaches warrant investigation in controlled human challenge studies.</w:t>
      </w:r>
    </w:p>
    <w:p>
      <w:r>
        <w:t>Our review has several limitations that should inform interpretation of findings. First, the evidence base is dominated by European cohorts (principally the Netherlands), limiting generalizability to populations in TB-endemic regions where BCG is most needed. Trained immunity mechanisms may differ in individuals with prior mycobacterial exposure or co-infections. Second, methodological heterogeneity across studies complicates direct comparison; response phenotype definitions, stimulation protocols, and omics platforms varied substantially. Third, most included studies had modest sample sizes (&lt;200 participants), limiting statistical power for subgroup analyses. Fourth, we were unable to perform meta-analysis for all candidate predictors due to inconsistent reporting; standardized outcome reporting in future studies is strongly encouraged.</w:t>
      </w:r>
    </w:p>
    <w:p>
      <w:r>
        <w:t>Future research should prioritize: (1) validation of identified biomarkers in diverse populations, particularly in Africa and Asia; (2) development of rapid, affordable assays for baseline immunophenotyping deployable in resource-limited settings; (3) mechanistic studies to identify therapeutically modifiable determinants of the 'dormant' epigenetic state; (4) clinical trials investigating stratified vaccination strategies based on predicted response. The integration of multi-omics data with clinical outcomes in large prospective cohorts will be essential for moving from biomarker discovery to clinical application.</w:t>
      </w:r>
    </w:p>
    <w:p>
      <w:r>
        <w:t>In conclusion, this systematic review and meta-analysis establishes IL-1β as a validated, cross-cohort biomarker for BCG vaccine response prediction. The pooled effect size of 1.96 with zero heterogeneity represents the strongest quantitative evidence to date for a trained immunity predictor. These findings provide a scientific foundation for personalized BCG vaccination strategies and highlight the urgent need for validation studies in TB-endemic populations of Africa and Asia.</w:t>
      </w:r>
    </w:p>
    <w:p>
      <w:pPr>
        <w:pStyle w:val="Heading1"/>
      </w:pPr>
      <w:r>
        <w:t>Declarations</w:t>
      </w:r>
    </w:p>
    <w:p>
      <w:pPr>
        <w:pStyle w:val="Heading2"/>
      </w:pPr>
      <w:r>
        <w:t>Funding</w:t>
      </w:r>
    </w:p>
    <w:p>
      <w:r>
        <w:t>This work received no external funding.</w:t>
      </w:r>
    </w:p>
    <w:p>
      <w:pPr>
        <w:pStyle w:val="Heading2"/>
      </w:pPr>
      <w:r>
        <w:t>Conflicts of Interest</w:t>
      </w:r>
    </w:p>
    <w:p>
      <w:r>
        <w:t>The author declares no conflicts of interest.</w:t>
      </w:r>
    </w:p>
    <w:p>
      <w:pPr>
        <w:pStyle w:val="Heading2"/>
      </w:pPr>
      <w:r>
        <w:t>Data Availability</w:t>
      </w:r>
    </w:p>
    <w:p>
      <w:r>
        <w:t>This study is a systematic review and meta-analysis of publicly available data. The source data extraction file used in this analysis is available in our GitHub repository: https://github.com/hssling/BCG_Vaccine_Response. The original datasets analyzed are available in the Gene Expression Omnibus (GEO) under the following accessions: GSE167232 (Moorlag et al.), GSE184241 (Koeken et al.). The Bannister et al. methylation data is available upon request from the original authors.</w:t>
      </w:r>
    </w:p>
    <w:p>
      <w:pPr>
        <w:pStyle w:val="Heading2"/>
      </w:pPr>
      <w:r>
        <w:t>Author Contributions</w:t>
      </w:r>
    </w:p>
    <w:p>
      <w:r>
        <w:t>SHS conceived the study, designed the review protocol, performed literature search and data extraction, conducted statistical analysis, interpreted results, and wrote the manuscript.</w:t>
      </w:r>
    </w:p>
    <w:p>
      <w:pPr>
        <w:pStyle w:val="Heading2"/>
      </w:pPr>
      <w:r>
        <w:t>Acknowledgments</w:t>
      </w:r>
    </w:p>
    <w:p>
      <w:r>
        <w:t>The author acknowledges the investigators of the primary studies included in this review for their rigorous work characterizing BCG-induced trained immunity. AI-assisted tools were used for literature organization and statistical programming; all content was verified and approved by the author.</w:t>
      </w:r>
    </w:p>
    <w:p>
      <w:pPr>
        <w:pStyle w:val="Heading1"/>
      </w:pPr>
      <w:r>
        <w:t>References</w:t>
      </w:r>
    </w:p>
    <w:p>
      <w:r>
        <w:t>1. Moorlag SJCFM, Arts RJW, van Crevel R, Netea MG. Non-specific effects of BCG vaccine on viral infections. Clin Microbiol Infect. 2019;25:1473-1478.</w:t>
      </w:r>
    </w:p>
    <w:p>
      <w:r>
        <w:t>2. Mangtani P, et al. Protection by BCG vaccine against tuberculosis: a systematic review of randomized controlled trials. Clin Infect Dis. 2014;58:470-480.</w:t>
      </w:r>
    </w:p>
    <w:p>
      <w:r>
        <w:t>3. Higgins JPT, et al. Association of BCG, DTP, and measles containing vaccines with childhood mortality: systematic review. BMJ. 2016;355:i5170.</w:t>
      </w:r>
    </w:p>
    <w:p>
      <w:r>
        <w:t>4. Netea MG, et al. Defining trained immunity and its role in health and disease. Nat Rev Immunol. 2020;20:375-388.</w:t>
      </w:r>
    </w:p>
    <w:p>
      <w:r>
        <w:t>5. Kleinnijenhuis J, et al. Bacille Calmette-Guerin induces NOD2-dependent nonspecific protection from reinfection via epigenetic reprogramming of monocytes. PNAS. 2012;109:17537-42.</w:t>
      </w:r>
    </w:p>
    <w:p>
      <w:r>
        <w:t>6. Arts RJW, et al. BCG Vaccination Protects against Experimental Viral Infection in Humans through the Induction of Cytokines Associated with Trained Immunity. Cell Host Microbe. 2018;23:89-100.</w:t>
      </w:r>
    </w:p>
    <w:p>
      <w:r>
        <w:t>7. Moorlag SJCFM, et al. Multi-omics analysis of innate and adaptive responses to BCG vaccination reveals epigenetic cell states that predict trained immunity. Immunity. 2024;57:171-187.</w:t>
      </w:r>
    </w:p>
    <w:p>
      <w:r>
        <w:t>8. Bannister S, et al. Neonatal BCG vaccination is associated with a long-term DNA methylation signature in circulating monocytes. Sci Adv. 2022;8:eabn4002.</w:t>
      </w:r>
    </w:p>
    <w:p>
      <w:r>
        <w:t>9. Arts RJW, et al. Glutaminolysis and Fumarate Accumulation Integrate Immunometabolic and Epigenetic Programs in Trained Immunity. Cell Metab. 2016;24:807-819.</w:t>
      </w:r>
    </w:p>
    <w:p>
      <w:r>
        <w:t>10. Page MJ, et al. The PRISMA 2020 statement: an updated guideline for reporting systematic reviews. BMJ. 2021;372:n71.</w:t>
      </w:r>
    </w:p>
    <w:p>
      <w:r>
        <w:t>11. Koeken VACM, et al. A single-cell view on host immune transcriptional response to in vivo BCG-induced trained immunity. Cell Rep. 2023;42:112487.</w:t>
      </w:r>
    </w:p>
    <w:p>
      <w:r>
        <w:t>12. Cirovic B, et al. BCG Vaccination in Humans Elicits Trained Immunity via the Hematopoietic Progenitor Compartment. Cell Host Microbe. 2020;28:322-334.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