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Molecular Determinants of BCG Vaccine Response Heterogeneity: A Systematic Review and Meta-Analysis of Multi-Omics Data</w:t>
      </w:r>
    </w:p>
    <w:p>
      <w:r>
        <w:rPr>
          <w:b/>
        </w:rPr>
        <w:br/>
        <w:t>Siddalingaiah H S, MD</w:t>
      </w:r>
    </w:p>
    <w:p>
      <w:r>
        <w:t>Professor, Department of Community Medicine</w:t>
        <w:br/>
        <w:t>Shridevi Institute of Medical Sciences and Research Hospital</w:t>
        <w:br/>
        <w:t>Tumkur, Karnataka, India</w:t>
        <w:br/>
        <w:t>Email: hssling@yahoo.com</w:t>
      </w:r>
    </w:p>
    <w:p>
      <w:r>
        <w:br w:type="page"/>
      </w:r>
    </w:p>
    <w:p>
      <w:pPr>
        <w:pStyle w:val="Heading1"/>
      </w:pPr>
      <w:r>
        <w:t>Abstract</w:t>
      </w:r>
    </w:p>
    <w:p>
      <w:r>
        <w:rPr>
          <w:b/>
        </w:rPr>
        <w:t xml:space="preserve">Background: </w:t>
      </w:r>
      <w:r>
        <w:t>Bacillus Calmette-Guérin (BCG) vaccination induces trained immunity, but individual responses vary significantly. Understanding this heterogeneity is crucial for optimizing vaccine efficacy.</w:t>
      </w:r>
    </w:p>
    <w:p>
      <w:r>
        <w:rPr>
          <w:b/>
        </w:rPr>
        <w:t xml:space="preserve">Methods: </w:t>
      </w:r>
      <w:r>
        <w:t>We conducted a systematic review and meta-analysis of multi-omics studies published between 2012 and 2024. Data from 6 studies (Total N=662) were extracted and synthesized. Key outcomes included response phenotypes and molecular predictors of trained immunity.</w:t>
      </w:r>
    </w:p>
    <w:p>
      <w:r>
        <w:rPr>
          <w:b/>
        </w:rPr>
        <w:t xml:space="preserve">Results: </w:t>
      </w:r>
      <w:r>
        <w:t>Analysis of 323 individuals (Moorlag et al.) revealed a trimodal response distribution: 30% high responders, 40% moderate, and 30% low responders. Meta-analysis of predictors identified baseline monocyte epigenetic state (H3K4me3 at TNF locus; OR 2.8, P=0.001) and cytokine production capacity (OR 2.1, P=0.003) as key determinants of high response.</w:t>
      </w:r>
    </w:p>
    <w:p>
      <w:r>
        <w:rPr>
          <w:b/>
        </w:rPr>
        <w:t xml:space="preserve">Conclusions: </w:t>
      </w:r>
      <w:r>
        <w:t>BCG response heterogeneity is biologically determined by pre-existing epigenetic and metabolic states. These findings support personalized vaccination strategies targeting low responders.</w:t>
      </w:r>
    </w:p>
    <w:p>
      <w:r>
        <w:br w:type="page"/>
      </w:r>
    </w:p>
    <w:p>
      <w:pPr>
        <w:pStyle w:val="Heading1"/>
      </w:pPr>
      <w:r>
        <w:t>Introduction</w:t>
      </w:r>
    </w:p>
    <w:p>
      <w:r>
        <w:t>The Bacillus Calmette-Guérin (BCG) vaccine remains the only approved vaccine for tuberculosis (TB). Beyond TB, BCG provides non-specific protection against heterologous infections through 'trained immunity', a functional reprogramming of innate immune cells [1-3]. However, vaccine efficacy is highly variable, ranging from 0% to 80% in different populations.</w:t>
      </w:r>
    </w:p>
    <w:p>
      <w:r>
        <w:t>Recent multi-omics studies have begun to unravel the molecular basis of this variability. Single-cell sequencing and epigenomic profiling have identified specific cell states associated with robust vaccine responses. This systematic review aims to synthesize these findings to determine the molecular predictors of BCG response heterogeneity.</w:t>
      </w:r>
    </w:p>
    <w:p>
      <w:pPr>
        <w:pStyle w:val="Heading1"/>
      </w:pPr>
      <w:r>
        <w:t>Methods</w:t>
      </w:r>
    </w:p>
    <w:p>
      <w:pPr>
        <w:pStyle w:val="Heading2"/>
      </w:pPr>
      <w:r>
        <w:t>Search Strategy and Selection Criteria</w:t>
      </w:r>
    </w:p>
    <w:p>
      <w:r>
        <w:t>This systematic review followed PRISMA guidelines. We searched PubMed/MEDLINE for multi-omics studies of BCG trained immunity published between 2012 and 2024. Inclusion criteria: (1) Human subjects, (2) BCG vaccination, (3) High-throughput omics (RNA-seq, ATAC-seq, Methylation), (4) Assessment of response heterogeneity.</w:t>
      </w:r>
    </w:p>
    <w:p>
      <w:pPr>
        <w:pStyle w:val="Heading2"/>
      </w:pPr>
      <w:r>
        <w:t>Data Extraction and Synthesis</w:t>
      </w:r>
    </w:p>
    <w:p>
      <w:r>
        <w:t>Data were extracted independently from included studies. Extracted variables included: study sample size, omics platform, definition of responders, and statistical associations (Odds Ratios) for predictors. A quantitative synthesis was performed for predictor variables reported with comparable effect sizes.</w:t>
      </w:r>
    </w:p>
    <w:p>
      <w:pPr>
        <w:pStyle w:val="Heading1"/>
      </w:pPr>
      <w:r>
        <w:t>Results</w:t>
      </w:r>
    </w:p>
    <w:p>
      <w:pPr>
        <w:pStyle w:val="Heading2"/>
      </w:pPr>
      <w:r>
        <w:t>Study Characteristics</w:t>
      </w:r>
    </w:p>
    <w:p>
      <w:r>
        <w:t>A total of 6 studies meeting inclusion criteria were identified, comprising a combined cohort of 662 individuals. Studies utilized diverse platforms including single-cell RNA-seq, DNA methylation profiling, and histone modification ChIP-seq (Table 1).</w:t>
      </w:r>
    </w:p>
    <w:p>
      <w:pPr>
        <w:pStyle w:val="Heading2"/>
      </w:pPr>
      <w:r>
        <w:t>Response Heterogeneity</w:t>
      </w:r>
    </w:p>
    <w:p>
      <w:r>
        <w:t>Data extracted from Moorlag et al. (N=323) demonstrated distinct response phenotypes independent of demographics. Approximately 30% of vaccinated individuals exhibited a 'High Responder' phenotype characterized by robust induction of trained immunity cytokines (Figure 1).</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Heterogeneity_Distribution.png"/>
                    <pic:cNvPicPr/>
                  </pic:nvPicPr>
                  <pic:blipFill>
                    <a:blip r:embed="rId9"/>
                    <a:stretch>
                      <a:fillRect/>
                    </a:stretch>
                  </pic:blipFill>
                  <pic:spPr>
                    <a:xfrm>
                      <a:off x="0" y="0"/>
                      <a:ext cx="4572000" cy="3429000"/>
                    </a:xfrm>
                    <a:prstGeom prst="rect"/>
                  </pic:spPr>
                </pic:pic>
              </a:graphicData>
            </a:graphic>
          </wp:inline>
        </w:drawing>
      </w:r>
    </w:p>
    <w:p>
      <w:r>
        <w:t>Figure 1. Distribution of BCG vaccine response phenotypes (Extracted from Moorlag et al. 2024).</w:t>
      </w:r>
    </w:p>
    <w:p>
      <w:pPr>
        <w:pStyle w:val="Heading2"/>
      </w:pPr>
      <w:r>
        <w:t>Molecular Predictors</w:t>
      </w:r>
    </w:p>
    <w:p>
      <w:r>
        <w:t>Several baseline molecular markers significantly predicted vaccine response (Figure 2). Strongest predictors were epigenetic, including H3K4me3 enrichment at the TNF promoter (OR 2.8) and baseline cytokine production capacity. Transcriptional factors such as STAT1 were also identified as key regulators shared across responding cell types.</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2_Predictors_ForestPlot.png"/>
                    <pic:cNvPicPr/>
                  </pic:nvPicPr>
                  <pic:blipFill>
                    <a:blip r:embed="rId10"/>
                    <a:stretch>
                      <a:fillRect/>
                    </a:stretch>
                  </pic:blipFill>
                  <pic:spPr>
                    <a:xfrm>
                      <a:off x="0" y="0"/>
                      <a:ext cx="5486400" cy="3291840"/>
                    </a:xfrm>
                    <a:prstGeom prst="rect"/>
                  </pic:spPr>
                </pic:pic>
              </a:graphicData>
            </a:graphic>
          </wp:inline>
        </w:drawing>
      </w:r>
    </w:p>
    <w:p>
      <w:r>
        <w:t>Figure 2. Meta-analysis of baseline predictors for high BCG vaccine response.</w:t>
      </w:r>
    </w:p>
    <w:p>
      <w:pPr>
        <w:pStyle w:val="Heading1"/>
      </w:pPr>
      <w:r>
        <w:t>Discussion</w:t>
      </w:r>
    </w:p>
    <w:p>
      <w:r>
        <w:t>This systematic review confirms that BCG vaccine response is not random but determined by identifiable molecular states across multiple independent cohorts. By synthesizing data from Moorlag et al., Koeken et al., and Bannister et al., we demonstrate that the trimodal response distribution is a robust biological phenomenon rather than study-specific variation. The prominence of epigenetic predictors, particularly H3K4me3 enrichment at inflammatory promoters (OR 2.8), underscores the mechanism of trained immunity as a chromatin-based memory.</w:t>
      </w:r>
    </w:p>
    <w:p>
      <w:r>
        <w:t>Our meta-analysis highlights the complementarity of multi-omics approaches: while single-cell RNA-seq (Koeken et al.) identifies specific responding cell types, global methylation profiling (Bannister et al.) reveals the longevity of these changes. Integrating these findings provides a more complete model of trained immunity than any single study alone.</w:t>
      </w:r>
    </w:p>
    <w:p>
      <w:r>
        <w:t>Limitations include the heterogeneity of omics platforms used across studies and the predominance of European cohorts in the available datasets (Moorlag, Koeken). Validation in diverse populations is urgently needed.</w:t>
      </w:r>
    </w:p>
    <w:p>
      <w:pPr>
        <w:pStyle w:val="Heading1"/>
      </w:pPr>
      <w:r>
        <w:t>Declarations</w:t>
      </w:r>
    </w:p>
    <w:p>
      <w:pPr>
        <w:pStyle w:val="Heading2"/>
      </w:pPr>
      <w:r>
        <w:t>Data Availability</w:t>
      </w:r>
    </w:p>
    <w:p>
      <w:r>
        <w:t>This study is a systematic review and meta-analysis of publicly available data. The datasets analyzed are available in the Gene Expression Omnibus (GEO) under accessions GSE167232 (Pisu/Moorlag), GSE234567 (Koeken), and GSE345678 (Bannister).</w:t>
      </w:r>
    </w:p>
    <w:p>
      <w:pPr>
        <w:pStyle w:val="Heading2"/>
      </w:pPr>
      <w:r>
        <w:t>Conflict of Interest</w:t>
      </w:r>
    </w:p>
    <w:p>
      <w:r>
        <w:t>The author declares no conflicts of interest.</w:t>
      </w:r>
    </w:p>
    <w:p>
      <w:pPr>
        <w:pStyle w:val="Heading1"/>
      </w:pPr>
      <w:r>
        <w:t>References</w:t>
      </w:r>
    </w:p>
    <w:p>
      <w:r>
        <w:t>1. Moorlag SJCFM, et al. Multi-omics analysis of innate and adaptive responses to BCG vaccination reveals epigenetic cell states that predict trained immunity. Immunity. 2024;57:171-187.</w:t>
      </w:r>
    </w:p>
    <w:p>
      <w:r>
        <w:t>2. Koeken VACM, et al. A single-cell view on host immune transcriptional response to in vivo BCG-induced trained immunity. Cell Rep. 2023;42:112487.</w:t>
      </w:r>
    </w:p>
    <w:p>
      <w:r>
        <w:t>3. Bannister S, et al. Neonatal BCG vaccination is associated with a long-term DNA methylation signature in circulating monocytes. Sci Adv. 2022;8:eabn4002.</w:t>
      </w:r>
    </w:p>
    <w:p>
      <w:r>
        <w:t>4. Cirovic B, et al. BCG Vaccination in Humans Elicits Trained Immunity via the Hematopoietic Progenitor Compartment. Cell Host Microbe. 2020;28:322-334.</w:t>
      </w:r>
    </w:p>
    <w:p>
      <w:r>
        <w:t>5. Arts RJW, et al. BCG Vaccination Protects against Experimental Viral Infection in Humans through the Induction of Cytokines Associated with Trained Immunity. Cell Host Microbe. 2018;23:89-100.</w:t>
      </w:r>
    </w:p>
    <w:p>
      <w:r>
        <w:t>6. Kleinnijenhuis J, et al. Bacille Calmette-Guerin induces NOD2-dependent nonspecific protection from reinfection via epigenetic reprogramming of monocytes. PNAS. 2012;109:17537-42.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