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BCG Vaccine Response Heterogeneity: Molecular Mechanisms of Trained Immunity - A Pooled Analysis of 678 Individuals from 6 Multi-Omics Studies</w:t>
      </w:r>
    </w:p>
    <w:p/>
    <w:p/>
    <w:p>
      <w:r>
        <w:rPr>
          <w:b/>
        </w:rPr>
        <w:t>Authors:</w:t>
      </w:r>
    </w:p>
    <w:p>
      <w:r>
        <w:t>Siddalingaiah H S, MD</w:t>
      </w:r>
    </w:p>
    <w:p/>
    <w:p>
      <w:r>
        <w:rPr>
          <w:b/>
        </w:rPr>
        <w:t>Affiliation:</w:t>
      </w:r>
    </w:p>
    <w:p>
      <w:r>
        <w:t>Department of Community Medicine</w:t>
      </w:r>
    </w:p>
    <w:p>
      <w:r>
        <w:t>Shridevi Institute of Medical Sciences and Research Hospital</w:t>
      </w:r>
    </w:p>
    <w:p>
      <w:r>
        <w:t>Tumkur, Karnataka, India - 572106</w:t>
      </w:r>
    </w:p>
    <w:p/>
    <w:p>
      <w:r>
        <w:rPr>
          <w:b/>
        </w:rPr>
        <w:t>Corresponding Author:</w:t>
      </w:r>
    </w:p>
    <w:p>
      <w:r>
        <w:t>Siddalingaiah H S, MD</w:t>
      </w:r>
    </w:p>
    <w:p>
      <w:r>
        <w:t>Email: hssling@yahoo.com</w:t>
      </w:r>
    </w:p>
    <w:p>
      <w:r>
        <w:t>ORCID: 0000-0002-4771-8285</w:t>
      </w:r>
    </w:p>
    <w:p/>
    <w:p>
      <w:r>
        <w:rPr>
          <w:b/>
        </w:rPr>
        <w:t xml:space="preserve">Running Title: </w:t>
      </w:r>
      <w:r>
        <w:t>BCG Trained Immunity Heterogeneity</w:t>
      </w:r>
    </w:p>
    <w:p/>
    <w:p>
      <w:r>
        <w:rPr>
          <w:b/>
        </w:rPr>
        <w:t xml:space="preserve">Word Count: </w:t>
      </w:r>
      <w:r>
        <w:t>~3,100 words (excluding references)</w:t>
      </w:r>
    </w:p>
    <w:p/>
    <w:p>
      <w:r>
        <w:rPr>
          <w:b/>
        </w:rPr>
        <w:t xml:space="preserve">Figures: </w:t>
      </w:r>
      <w:r>
        <w:t>3</w:t>
      </w:r>
    </w:p>
    <w:p>
      <w:r>
        <w:rPr>
          <w:b/>
        </w:rPr>
        <w:t xml:space="preserve">Tables: </w:t>
      </w:r>
      <w:r>
        <w:t>1</w:t>
      </w:r>
    </w:p>
    <w:p>
      <w:r>
        <w:rPr>
          <w:b/>
        </w:rPr>
        <w:t xml:space="preserve">References: </w:t>
      </w:r>
      <w:r>
        <w:t>8</w:t>
      </w:r>
    </w:p>
    <w:p/>
    <w:p>
      <w:r>
        <w:rPr>
          <w:b/>
        </w:rPr>
        <w:t>Key Points:</w:t>
      </w:r>
    </w:p>
    <w:p>
      <w:r>
        <w:t>1. BCG vaccine responses show trimodal distribution: 30% high, 40% moderate, 30% low responders</w:t>
      </w:r>
    </w:p>
    <w:p>
      <w:r>
        <w:t>2. Baseline H3K4me3 at TNF locus is strongest predictor of high response (OR 2.8)</w:t>
      </w:r>
    </w:p>
    <w:p>
      <w:r>
        <w:t>3. STAT1 is a key transcription factor for trained immunity across monocyte subpopulations</w:t>
      </w:r>
    </w:p>
    <w:p>
      <w:r>
        <w:t>4. BCG-induced epigenetic changes persist &gt;12 months via hematopoietic stem cell reprogramming</w:t>
      </w:r>
    </w:p>
    <w:p/>
    <w:p>
      <w:r>
        <w:rPr>
          <w:b/>
        </w:rPr>
        <w:t>Author Contributions:</w:t>
      </w:r>
    </w:p>
    <w:p>
      <w:r>
        <w:t>Siddalingaiah H S: Conceptualization, Methodology, Formal Analysis, Writing - Original Draft, Visualization</w:t>
      </w:r>
    </w:p>
    <w:p/>
    <w:p>
      <w:r>
        <w:rPr>
          <w:b/>
        </w:rPr>
        <w:t>AI Disclosure Statement:</w:t>
      </w:r>
    </w:p>
    <w:p>
      <w:r>
        <w:t>AI-assisted tools were used for literature synthesis and manuscript preparation. All factual claims, PMIDs, and data interpretations were verified by the author. The author takes full responsibility for the accuracy of all content.</w:t>
      </w:r>
    </w:p>
    <w:sectPr w:rsidR="00FC693F" w:rsidRPr="0006063C" w:rsidSect="00034616">
      <w:pgSz w:w="12240" w:h="15840"/>
      <w:pgMar w:top="1417"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