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rPr>
          <w:b/>
        </w:rPr>
        <w:t>Epigenetic Locking of Vascular and Inflammatory Effectors</w:t>
        <w:br/>
        <w:t>Siddalingaiah H S, MD</w:t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1. Single-Cell Data Processing</w:t>
      </w:r>
    </w:p>
    <w:p>
      <w:r>
        <w:t>Single-cell RNA-seq and ATAC-seq data were processed using Cell Ranger (v7.0.0). Quality control was performed using Seurat v5. Cells with &gt;15% mitochondrial reads or &lt;200 features were excluded. Doublet detection was performed using DoubletFinder. Integration of datasets was achieved using Harmony to correct for batch effects while preserving biological variance.</w:t>
      </w:r>
    </w:p>
    <w:p>
      <w:pPr>
        <w:pStyle w:val="Heading2"/>
      </w:pPr>
      <w:r>
        <w:t>2. Chromatin Priming Index (CPI) Calculation</w:t>
      </w:r>
    </w:p>
    <w:p>
      <w:r>
        <w:t>The CPI was calculated as follows: For each cell type, Differentially Expressed Genes (DEGs) were identified (Wilcoxon rank-sum test, p_adj &lt; 0.05). Chromatin accessibility at the promoter regions (+/- 2kb from TSS) of these DEGs was quantified using Signac. A gene was considered 'Primed' if it possessed accessible chromatin (Peak Score &gt; 0). CPI = (Number of Primed DEGs) / (Total Number of DEGs).</w:t>
      </w:r>
    </w:p>
    <w:p>
      <w:pPr>
        <w:pStyle w:val="Heading2"/>
      </w:pPr>
      <w:r>
        <w:t>3. Core Signature Identification</w:t>
      </w:r>
    </w:p>
    <w:p>
      <w:r>
        <w:t>The Core Signature was defined as the intersection of Primed DEGs across the three disease datasets (TB, Sepsis, Dengue). This resulted in a set of 616 genes. Functional enrichment was performed using clusterProfiler w.r.t GO:BP database.</w:t>
      </w:r>
    </w:p>
    <w:p>
      <w:pPr>
        <w:pStyle w:val="Heading1"/>
      </w:pPr>
      <w:r>
        <w:t>Supplementary Table 1: Top 20 Core Primed Genes</w:t>
      </w:r>
    </w:p>
    <w:p>
      <w:r>
        <w:t>ISG15</w:t>
      </w:r>
    </w:p>
    <w:p>
      <w:r>
        <w:t>MX1</w:t>
      </w:r>
    </w:p>
    <w:p>
      <w:r>
        <w:t>STAT1</w:t>
      </w:r>
    </w:p>
    <w:p>
      <w:r>
        <w:t>IFITM3</w:t>
      </w:r>
    </w:p>
    <w:p>
      <w:r>
        <w:t>OAS1</w:t>
      </w:r>
    </w:p>
    <w:p>
      <w:r>
        <w:t>S100A8</w:t>
      </w:r>
    </w:p>
    <w:p>
      <w:r>
        <w:t>S100A9</w:t>
      </w:r>
    </w:p>
    <w:p>
      <w:r>
        <w:t>S100A12</w:t>
      </w:r>
    </w:p>
    <w:p>
      <w:r>
        <w:t>FCN1</w:t>
      </w:r>
    </w:p>
    <w:p>
      <w:r>
        <w:t>VCAN</w:t>
      </w:r>
    </w:p>
    <w:p>
      <w:r>
        <w:t>LYZ</w:t>
      </w:r>
    </w:p>
    <w:p>
      <w:r>
        <w:t>CD14</w:t>
      </w:r>
    </w:p>
    <w:p>
      <w:r>
        <w:t>FOS</w:t>
      </w:r>
    </w:p>
    <w:p>
      <w:r>
        <w:t>JUN</w:t>
      </w:r>
    </w:p>
    <w:p>
      <w:r>
        <w:t>VEGFA</w:t>
      </w:r>
    </w:p>
    <w:p>
      <w:r>
        <w:t>NAMPT</w:t>
      </w:r>
    </w:p>
    <w:p>
      <w:r>
        <w:t>IL1B</w:t>
      </w:r>
    </w:p>
    <w:p>
      <w:r>
        <w:t>CXCL8</w:t>
      </w:r>
    </w:p>
    <w:p>
      <w:r>
        <w:t>NFKBIA</w:t>
      </w:r>
    </w:p>
    <w:p>
      <w:r>
        <w:t>SOD2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