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Chromatin Accessibility Landscapes Determine Treatment Failure in Pulmonary Tuberculosis</w:t>
      </w:r>
    </w:p>
    <w:p>
      <w:pPr>
        <w:pStyle w:val="Heading1"/>
      </w:pPr>
      <w:r>
        <w:t>Abstract</w:t>
      </w:r>
    </w:p>
    <w:p>
      <w:r>
        <w:t>Background: The immune response to Mtb is compartmentalized. We performed paired scRNA-seq and scATAC-seq on BAL and PBMCs. Results: Alveolar macrophages displayed a 'hyper-primed' inflammatory state (CPI 78.8%) driven by AP-1. We identified a 'Failure chromatin signature' at MMP loci.</w:t>
      </w:r>
    </w:p>
    <w:p>
      <w:pPr>
        <w:pStyle w:val="Heading1"/>
      </w:pPr>
      <w:r>
        <w:t>Results</w:t>
      </w:r>
    </w:p>
    <w:p>
      <w:r>
        <w:t>We observed a striking epigenetic divergence between compartments. Alveolar macrophages were enriched for FOS/JUN motifs.</w:t>
      </w:r>
    </w:p>
    <w:p>
      <w:pPr>
        <w:pStyle w:val="Heading1"/>
      </w:pPr>
      <w:r>
        <w:t>References</w:t>
      </w:r>
    </w:p>
    <w:p>
      <w:r>
        <w:t>1. World Health Organization. Global Tuberculosis Report 2024.</w:t>
      </w:r>
    </w:p>
    <w:p>
      <w:r>
        <w:t>2. Pacis A, et al. Bacterial infection remodels the DNA methylation landscape of human dendritic cells. Genome Res. 2015.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