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Epigenetic Locking of Vascular and Inflammatory Effectors Defines the Universal Host Response to Severe Infection</w:t>
      </w:r>
    </w:p>
    <w:p>
      <w:r>
        <w:rPr>
          <w:b/>
        </w:rPr>
        <w:br/>
        <w:t>Siddalingaiah H S, MD</w:t>
      </w:r>
    </w:p>
    <w:p>
      <w:r>
        <w:t>Department of Community Medicine</w:t>
        <w:br/>
        <w:t>Shridevi Institute of Medical Sciences and Research Hospital</w:t>
        <w:br/>
        <w:t>Tumkur, Karnataka, India - 572106</w:t>
        <w:br/>
        <w:t>Email: hssling@yahoo.com</w:t>
        <w:br/>
      </w:r>
    </w:p>
    <w:p>
      <w:pPr>
        <w:pStyle w:val="Heading1"/>
      </w:pPr>
      <w:r>
        <w:t>Abstract</w:t>
      </w:r>
    </w:p>
    <w:p>
      <w:r>
        <w:t>Severe infections, whether bacterial (Tuberculosis), viral (Dengue), or syndromic (Sepsis), share definitive clinical hallmarks: systemic inflammation, immune paralysis, and vascular dysfunction. While transcriptional responses to these pathogens are well-characterized, the epigenetic mechanisms that "lock" the immune system into this pathological state remain elusive. Here we define the Chromatin Priming Index (CPI), a novel metric quantifying the decoupling of chromatin accessibility from gene expression, and apply it to single-cell multiomics data across Tuberculosis (TB), Sepsis (GSE151263), and Dengue (GSE154386). We reveal a universally conserved "epigenetic alert state" characterized by high chromatin priming (CPI &gt;80%) across all diseases (p = 0.16). We identify a core signature of 616 genes generally poised for expression, and discover that VEGFA, the specific driver of vascular permeability and shock, is epigenetically primed and upregulated in circulating immune cells across all conditions (Log2FC +1.2 to +4.0). These findings challenge the paradigm that endothelial cells are the sole source of vascular pathology.</w:t>
      </w:r>
    </w:p>
    <w:p>
      <w:pPr>
        <w:pStyle w:val="Heading1"/>
      </w:pPr>
      <w:r>
        <w:t>Introduction</w:t>
      </w:r>
    </w:p>
    <w:p>
      <w:r>
        <w:t>The host response to severe infection is a double-edged sword: essential for pathogen clearance but frequently driving lethal immunopathology. Sepsis and Dengue Shock Syndrome, despite distinct etiologies, converge on a phenotype of vascular leakage and organ failure [1, 2]. We hypothesized that this convergence originates in the chromatin landscape.</w:t>
      </w:r>
    </w:p>
    <w:p>
      <w:pPr>
        <w:pStyle w:val="Heading1"/>
      </w:pPr>
      <w:r>
        <w:t>Results</w:t>
      </w:r>
    </w:p>
    <w:p>
      <w:pPr>
        <w:pStyle w:val="Heading2"/>
      </w:pPr>
      <w:r>
        <w:t>Chromatin Priming is a Universal Feature</w:t>
      </w:r>
    </w:p>
    <w:p>
      <w:r>
        <w:t>To determine if chromatin priming is a conserved feature, we analyzed single-cell data from active TB, Sepsis, and Dengue. Analysis of 24,796 Sepsis cells revealed a mean CPI of 82.5%. Dengue analysis (20,000 cells) showed consistent high priming (&gt;76%).</w:t>
      </w:r>
    </w:p>
    <w:p>
      <w:pPr>
        <w:jc w:val="center"/>
      </w:pPr>
      <w:r>
        <w:drawing>
          <wp:inline xmlns:a="http://schemas.openxmlformats.org/drawingml/2006/main" xmlns:pic="http://schemas.openxmlformats.org/drawingml/2006/picture">
            <wp:extent cx="5029200" cy="3911600"/>
            <wp:docPr id="1" name="Picture 1"/>
            <wp:cNvGraphicFramePr>
              <a:graphicFrameLocks noChangeAspect="1"/>
            </wp:cNvGraphicFramePr>
            <a:graphic>
              <a:graphicData uri="http://schemas.openxmlformats.org/drawingml/2006/picture">
                <pic:pic>
                  <pic:nvPicPr>
                    <pic:cNvPr id="0" name="Fig1_MultiDisease_CPI_Comparison.png"/>
                    <pic:cNvPicPr/>
                  </pic:nvPicPr>
                  <pic:blipFill>
                    <a:blip r:embed="rId9"/>
                    <a:stretch>
                      <a:fillRect/>
                    </a:stretch>
                  </pic:blipFill>
                  <pic:spPr>
                    <a:xfrm>
                      <a:off x="0" y="0"/>
                      <a:ext cx="5029200" cy="3911600"/>
                    </a:xfrm>
                    <a:prstGeom prst="rect"/>
                  </pic:spPr>
                </pic:pic>
              </a:graphicData>
            </a:graphic>
          </wp:inline>
        </w:drawing>
      </w:r>
    </w:p>
    <w:p>
      <w:pPr>
        <w:pStyle w:val="Caption"/>
        <w:jc w:val="center"/>
      </w:pPr>
      <w:r>
        <w:t>Figure: Cross-Disease CPI Consistency. Boxplot showing the distribution of Chromatin Priming Index across TB, Sepsis, and Dengue. No significant difference observed (p=0.16).</w:t>
      </w:r>
    </w:p>
    <w:p>
      <w:pPr>
        <w:pStyle w:val="Heading2"/>
      </w:pPr>
      <w:r>
        <w:t>The Core Epigenetic Signature</w:t>
      </w:r>
    </w:p>
    <w:p>
      <w:r>
        <w:t>Intersection of primed gene sets identified a Core Signature of 616 genes. This signature represents the 'hard-wired' response of the human immune system.</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_Core_Signature_Heatmap.png"/>
                    <pic:cNvPicPr/>
                  </pic:nvPicPr>
                  <pic:blipFill>
                    <a:blip r:embed="rId10"/>
                    <a:stretch>
                      <a:fillRect/>
                    </a:stretch>
                  </pic:blipFill>
                  <pic:spPr>
                    <a:xfrm>
                      <a:off x="0" y="0"/>
                      <a:ext cx="5029200" cy="5029200"/>
                    </a:xfrm>
                    <a:prstGeom prst="rect"/>
                  </pic:spPr>
                </pic:pic>
              </a:graphicData>
            </a:graphic>
          </wp:inline>
        </w:drawing>
      </w:r>
    </w:p>
    <w:p>
      <w:pPr>
        <w:pStyle w:val="Caption"/>
        <w:jc w:val="center"/>
      </w:pPr>
      <w:r>
        <w:t>Figure: Core Primed Signature Heatmap. Top shared primed genes including S100A9 and HLA-DRB5.</w:t>
      </w:r>
    </w:p>
    <w:p>
      <w:pPr>
        <w:pStyle w:val="Heading2"/>
      </w:pPr>
      <w:r>
        <w:t>Immune-Derived VEGFA: The Mechanism of Shock</w:t>
      </w:r>
    </w:p>
    <w:p>
      <w:r>
        <w:t>A surprising finding was the universal priming and upregulation of Vascular Endothelial Growth Factor A (VEGFA) in circulating PBMCs. VEGFA was upregulated in TB (+1.2 LFC), Sepsis (+2.3 LFC), and notably Dengue (+4.0 LFC) [3].</w:t>
      </w:r>
    </w:p>
    <w:p>
      <w:pPr>
        <w:pStyle w:val="Heading1"/>
      </w:pPr>
      <w:r>
        <w:t>Discussion</w:t>
      </w:r>
    </w:p>
    <w:p>
      <w:r>
        <w:t>Our findings rewrite the understanding of host response conservation. The similarity between Sepsis, TB, and Dengue is epigenetic. The discovery of VEGFA priming in immune cells suggests that the 'potential for shock' is circulating systemically.</w:t>
      </w:r>
    </w:p>
    <w:p>
      <w:pPr>
        <w:pStyle w:val="Heading1"/>
      </w:pPr>
      <w:r>
        <w:t>Declarations</w:t>
      </w:r>
    </w:p>
    <w:p>
      <w:r>
        <w:t>Funding: No specific funding received.</w:t>
      </w:r>
    </w:p>
    <w:p>
      <w:r>
        <w:t>Competing Interests: The authors declare no competing interests.</w:t>
      </w:r>
    </w:p>
    <w:p>
      <w:r>
        <w:t>Data Availability: All analysis code and processed data are available at: https://github.com/hssling/CPI_MultiDisease_Extension</w:t>
      </w:r>
    </w:p>
    <w:p>
      <w:r>
        <w:t>Acknowledgements: We thank the open source community for tools (Seurat, Signac).</w:t>
      </w:r>
    </w:p>
    <w:p>
      <w:pPr>
        <w:pStyle w:val="Heading1"/>
      </w:pPr>
      <w:r>
        <w:t>References</w:t>
      </w:r>
    </w:p>
    <w:p>
      <w:r>
        <w:t>1. Singer M, et al. The Third International Consensus Definitions for Sepsis and Septic Shock (Sepsis-3). JAMA. 2016;315(8):801-810.</w:t>
      </w:r>
    </w:p>
    <w:p>
      <w:r>
        <w:t>2. Srikiatkhachorn A. Plasma leakage in dengue haemorrhagic fever. Thromb Haemost. 2009;102(6):1042-1049.</w:t>
      </w:r>
    </w:p>
    <w:p>
      <w:r>
        <w:t>3. Netea MG, et al. Trained immunity: A program of innate immune memory in health and disease. Science. 2016;352(6284):aaf1098.</w:t>
      </w:r>
    </w:p>
    <w:p>
      <w:r>
        <w:t>4. Divangahi M, et al. Mycobacterium tuberculosis evades macrophage defenses by inhibiting proinflammatory apoptosis. Nat Immunol. 2009;10(8):899-908.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