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11, 2026</w:t>
      </w:r>
    </w:p>
    <w:p/>
    <w:p>
      <w:r>
        <w:t>Editor-in-Chief</w:t>
        <w:br/>
        <w:t>Clinical Infectious Diseases</w:t>
      </w:r>
    </w:p>
    <w:p/>
    <w:p>
      <w:r>
        <w:rPr>
          <w:b/>
        </w:rPr>
        <w:t xml:space="preserve">RE: Major Article Submission – </w:t>
      </w:r>
      <w:r>
        <w:t>Chromatin Accessibility Landscapes in the Tuberculosis Lung Predict Treatment Failure</w:t>
      </w:r>
    </w:p>
    <w:p/>
    <w:p>
      <w:r>
        <w:t>Dear Editor,</w:t>
      </w:r>
    </w:p>
    <w:p/>
    <w:p>
      <w:r>
        <w:t>We are pleased to submit our Major Article entitled 'Chromatin Accessibility Landscapes in the Tuberculosis Lung Predict Treatment Failure' for consideration in Clinical Infectious Diseases.</w:t>
      </w:r>
    </w:p>
    <w:p>
      <w:r>
        <w:t>This work addresses a critical clinical challenge: Why do 5-10% of drug-susceptible TB patients fail treatment despite adequate therapy? By performing the first single-cell epigenetic profiling of the human TB lung, we identify a 'Failure Chromatin Signature' in alveolar macrophages—characterized by primed accessibility at tissue-destructive MMP genes—that predicts poor outcome and would be missed by blood-based assays.</w:t>
      </w:r>
    </w:p>
    <w:p>
      <w:r>
        <w:t>Our findings have immediate translational relevance: (1) a novel lung-derived biomarker for risk stratification; (2) identification of BATF as a therapeutic target for host-directed therapy; (3) a conceptual framework for understanding treatment failure as an epigenetically pre-determined state.</w:t>
      </w:r>
    </w:p>
    <w:p>
      <w:r>
        <w:t>We believe this work will be of significant interest to the CID readership, including TB clinicians, immunologists, and translational researchers working on host-directed therapies.</w:t>
      </w:r>
    </w:p>
    <w:p/>
    <w:p>
      <w:pPr>
        <w:pStyle w:val="Heading1"/>
      </w:pPr>
      <w:r>
        <w:t>Disclosures</w:t>
      </w:r>
    </w:p>
    <w:p>
      <w:r>
        <w:t>• No related manuscripts under consideration elsewhere.</w:t>
      </w:r>
    </w:p>
    <w:p>
      <w:r>
        <w:t>• No conflicts of interest to declare.</w:t>
      </w:r>
    </w:p>
    <w:p/>
    <w:p>
      <w:pPr>
        <w:pStyle w:val="Heading1"/>
      </w:pPr>
      <w:r>
        <w:t>Suggested Reviewers</w:t>
      </w:r>
    </w:p>
    <w:p>
      <w:r>
        <w:t>1. Prof. Paul Elkington – University of Southampton, UK (MMP biology in TB)</w:t>
      </w:r>
    </w:p>
    <w:p>
      <w:r>
        <w:t>2. Prof. Joel Ernst – UCSF, USA (TB macrophage immunology)</w:t>
      </w:r>
    </w:p>
    <w:p>
      <w:r>
        <w:t>3. Prof. Douglas Kwon – MGH/Ragon Institute, USA (Single-cell profiling in TB)</w:t>
      </w:r>
    </w:p>
    <w:p/>
    <w:p>
      <w:r>
        <w:t>Sincerely,</w:t>
      </w:r>
    </w:p>
    <w:p/>
    <w:p>
      <w:r>
        <w:t>Dr. Siddalingaiah H S, MD</w:t>
      </w:r>
    </w:p>
    <w:p>
      <w:r>
        <w:t>Professor, Department of Community Medicine</w:t>
      </w:r>
    </w:p>
    <w:p>
      <w:r>
        <w:t>Shridevi Institute of Medical Sciences</w:t>
      </w:r>
    </w:p>
    <w:p>
      <w:r>
        <w:t>Tumkur, India | hssling@yahoo.com | ORCID: 0000-0002-4771-8285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