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Chromatin Accessibility Landscapes in the Tuberculosis Lung Predict Treatment Failure: A Single-Cell Multiomics Study</w:t>
      </w:r>
    </w:p>
    <w:p>
      <w:r>
        <w:rPr>
          <w:b/>
        </w:rPr>
        <w:br/>
        <w:t>Siddalingaiah H S, MD</w:t>
      </w:r>
    </w:p>
    <w:p>
      <w:r>
        <w:t>Professor, Department of Community Medicine</w:t>
        <w:br/>
        <w:t>Shridevi Institute of Medical Sciences and Research Hospital</w:t>
        <w:br/>
        <w:t>Tumkur, Karnataka, India - 572106</w:t>
        <w:br/>
        <w:t>Email: hssling@yahoo.com | ORCID: 0000-0002-4771-8285</w:t>
        <w:br/>
      </w:r>
    </w:p>
    <w:p>
      <w:r>
        <w:rPr>
          <w:b/>
        </w:rPr>
        <w:t>Summary (40 words):</w:t>
      </w:r>
    </w:p>
    <w:p>
      <w:r>
        <w:t>Lung alveolar macrophages in TB patients who fail treatment exhibit a distinct 'primed' chromatin state at tissue-destructive gene loci (MMP1/MMP9), suggesting that treatment failure is an epigenetically pre-determined outcome rather than a random event.</w:t>
      </w:r>
    </w:p>
    <w:p/>
    <w:p>
      <w:pPr>
        <w:pStyle w:val="Heading1"/>
      </w:pPr>
      <w:r>
        <w:t>Abstract</w:t>
      </w:r>
    </w:p>
    <w:p>
      <w:r>
        <w:rPr>
          <w:b/>
        </w:rPr>
        <w:t xml:space="preserve">Background: </w:t>
      </w:r>
      <w:r>
        <w:t>Tuberculosis treatment failure affects 5-10% of drug-susceptible patients, yet host biomarkers predicting this outcome remain elusive. Blood-based transcriptomic signatures miss critical immunopathology at the site of infection—the lung.</w:t>
      </w:r>
    </w:p>
    <w:p>
      <w:r>
        <w:rPr>
          <w:b/>
        </w:rPr>
        <w:t xml:space="preserve">Methods: </w:t>
      </w:r>
      <w:r>
        <w:t>We performed paired single-cell RNA-seq and ATAC-seq (10x Multiome) on bronchoalveolar lavage (BAL) and matched PBMCs from patients with active pulmonary TB (n=10,357 cells). We developed the Chromatin Priming Index (CPI) to map the epigenetic potential of immune cells and stratified patients by 6-month treatment outcome (Cure vs. Failure).</w:t>
      </w:r>
    </w:p>
    <w:p>
      <w:r>
        <w:rPr>
          <w:b/>
        </w:rPr>
        <w:t xml:space="preserve">Results: </w:t>
      </w:r>
      <w:r>
        <w:t>Alveolar macrophages (AMs) and peripheral monocytes showed profoundly distinct chromatin landscapes. AMs exhibited a 'hyper-primed' inflammatory state (CPI 78.8%) driven by AP-1 (FOS/JUN) and NF-κB motifs, whereas peripheral monocytes displayed an Interferon-Response Factor (IRF) signature (CPI 84.2%). Patients who failed treatment exhibited a specific 'Failure Chromatin Signature' in baseline AMs: increased accessibility at Matrix Metalloproteinase loci (MMP1, MMP9) despite low expression. Transcription factor motif analysis identified BATF and MAF as master regulators of this pathological state.</w:t>
      </w:r>
    </w:p>
    <w:p>
      <w:r>
        <w:rPr>
          <w:b/>
        </w:rPr>
        <w:t xml:space="preserve">Conclusions: </w:t>
      </w:r>
      <w:r>
        <w:t>Chromatin accessibility in TB lung macrophages is distinct from blood and predictive of treatment outcome. The identification of an epigenetically poised 'tissue destruction' program offers a novel target for host-directed therapy to prevent lung damage and treatment failure.</w:t>
      </w:r>
    </w:p>
    <w:p>
      <w:pPr>
        <w:pStyle w:val="Heading1"/>
      </w:pPr>
      <w:r>
        <w:t>Introduction</w:t>
      </w:r>
    </w:p>
    <w:p>
      <w:r>
        <w:t>Tuberculosis (TB) remains a leading cause of infectious disease mortality worldwide, claiming over 1.3 million lives annually [1]. Despite the availability of effective first-line chemotherapy, 5-10% of drug-susceptible TB patients experience treatment failure—defined as persistent culture positivity at 5 months or recurrence within 2 years [2]. While antimicrobial resistance explains a fraction of failures, a significant proportion occur in the absence of resistance mutations, implicating host immunopathology as a critical determinant.</w:t>
      </w:r>
    </w:p>
    <w:p>
      <w:r>
        <w:t>The hallmark of TB pathology is the granuloma, an organized structure dominated by macrophages that serves to contain Mycobacterium tuberculosis (Mtb) but can also cause collateral tissue damage [3]. Lung cavitation—largely driven by Matrix Metalloproteinases (MMPs) secreted by activated macrophages—is a major predictor of treatment failure and transmission [4]. However, the molecular mechanisms that predispose certain patients to cavitary disease and failure remain poorly defined.</w:t>
      </w:r>
    </w:p>
    <w:p>
      <w:r>
        <w:t>Blood-based transcriptomic signatures have yielded valuable diagnostic and prognostic tools for TB [5]. However, these peripheral signatures may not capture the tissue-specific immune dynamics driving lung destruction. The alveolar macrophage (AM), the primary host cell for Mtb and the dominant effector at the site of infection, remains understudied due to the invasive nature of bronchoalveolar lavage.</w:t>
      </w:r>
    </w:p>
    <w:p>
      <w:r>
        <w:t>The concept of 'Trained Immunity' has demonstrated that innate immune cells undergo epigenetic reprogramming that persists beyond the initial stimulus, altering their responsiveness to subsequent challenges [6]. We hypothesized that the chromatin accessibility landscape of lung macrophages—reflecting their epigenetic 'potential'—might predict clinical outcomes independent of transcriptional profiles.</w:t>
      </w:r>
    </w:p>
    <w:p>
      <w:r>
        <w:t>To test this hypothesis, we performed paired single-cell RNA-seq and ATAC-seq (Multiome) on BAL and matched PBMCs from patients with active pulmonary TB. We developed the Chromatin Priming Index (CPI) to quantify the degree of epigenetic 'readiness' in immune populations and identified compartment-specific signatures predicting treatment failure.</w:t>
      </w:r>
    </w:p>
    <w:p>
      <w:pPr>
        <w:pStyle w:val="Heading1"/>
      </w:pPr>
      <w:r>
        <w:t>Results</w:t>
      </w:r>
    </w:p>
    <w:p>
      <w:pPr>
        <w:pStyle w:val="Heading2"/>
      </w:pPr>
      <w:r>
        <w:t>Study Cohort and Single-Cell Profiling</w:t>
      </w:r>
    </w:p>
    <w:p>
      <w:r>
        <w:t>We enrolled patients with newly diagnosed, culture-confirmed pulmonary TB (n=15; Table 1) and performed bronchoscopy with BAL within 7 days of treatment initiation. Matched PBMC samples were collected simultaneously. After quality control, our dataset comprised 10,357 high-quality cells (5,412 from BAL, 4,945 from PBMC) with paired RNA and ATAC modalities.</w:t>
      </w:r>
    </w:p>
    <w:p>
      <w:pPr>
        <w:jc w:val="center"/>
      </w:pPr>
      <w:r>
        <w:rPr>
          <w:b/>
        </w:rPr>
        <w:t>Table 1. Baseline characteristics of TB patients stratified by treatment outcome.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Characteristic</w:t>
            </w:r>
          </w:p>
        </w:tc>
        <w:tc>
          <w:tcPr>
            <w:tcW w:type="dxa" w:w="2160"/>
          </w:tcPr>
          <w:p>
            <w:r>
              <w:rPr>
                <w:b/>
              </w:rPr>
              <w:t>Cure (n=10)</w:t>
            </w:r>
          </w:p>
        </w:tc>
        <w:tc>
          <w:tcPr>
            <w:tcW w:type="dxa" w:w="2160"/>
          </w:tcPr>
          <w:p>
            <w:r>
              <w:rPr>
                <w:b/>
              </w:rPr>
              <w:t>Failure (n=5)</w:t>
            </w:r>
          </w:p>
        </w:tc>
        <w:tc>
          <w:tcPr>
            <w:tcW w:type="dxa" w:w="2160"/>
          </w:tcPr>
          <w:p>
            <w:r>
              <w:rPr>
                <w:b/>
              </w:rPr>
              <w:t>p-value</w:t>
            </w:r>
          </w:p>
        </w:tc>
      </w:tr>
      <w:tr>
        <w:tc>
          <w:tcPr>
            <w:tcW w:type="dxa" w:w="2160"/>
          </w:tcPr>
          <w:p>
            <w:r>
              <w:t>Age, median (IQR)</w:t>
            </w:r>
          </w:p>
        </w:tc>
        <w:tc>
          <w:tcPr>
            <w:tcW w:type="dxa" w:w="2160"/>
          </w:tcPr>
          <w:p>
            <w:r>
              <w:t>42 (35-51)</w:t>
            </w:r>
          </w:p>
        </w:tc>
        <w:tc>
          <w:tcPr>
            <w:tcW w:type="dxa" w:w="2160"/>
          </w:tcPr>
          <w:p>
            <w:r>
              <w:t>45 (38-54)</w:t>
            </w:r>
          </w:p>
        </w:tc>
        <w:tc>
          <w:tcPr>
            <w:tcW w:type="dxa" w:w="2160"/>
          </w:tcPr>
          <w:p>
            <w:r>
              <w:t>0.42</w:t>
            </w:r>
          </w:p>
        </w:tc>
      </w:tr>
      <w:tr>
        <w:tc>
          <w:tcPr>
            <w:tcW w:type="dxa" w:w="2160"/>
          </w:tcPr>
          <w:p>
            <w:r>
              <w:t>Male sex, n (%)</w:t>
            </w:r>
          </w:p>
        </w:tc>
        <w:tc>
          <w:tcPr>
            <w:tcW w:type="dxa" w:w="2160"/>
          </w:tcPr>
          <w:p>
            <w:r>
              <w:t>7 (70%)</w:t>
            </w:r>
          </w:p>
        </w:tc>
        <w:tc>
          <w:tcPr>
            <w:tcW w:type="dxa" w:w="2160"/>
          </w:tcPr>
          <w:p>
            <w:r>
              <w:t>4 (80%)</w:t>
            </w:r>
          </w:p>
        </w:tc>
        <w:tc>
          <w:tcPr>
            <w:tcW w:type="dxa" w:w="2160"/>
          </w:tcPr>
          <w:p>
            <w:r>
              <w:t>0.68</w:t>
            </w:r>
          </w:p>
        </w:tc>
      </w:tr>
      <w:tr>
        <w:tc>
          <w:tcPr>
            <w:tcW w:type="dxa" w:w="2160"/>
          </w:tcPr>
          <w:p>
            <w:r>
              <w:t>Smear positive, n (%)</w:t>
            </w:r>
          </w:p>
        </w:tc>
        <w:tc>
          <w:tcPr>
            <w:tcW w:type="dxa" w:w="2160"/>
          </w:tcPr>
          <w:p>
            <w:r>
              <w:t>8 (80%)</w:t>
            </w:r>
          </w:p>
        </w:tc>
        <w:tc>
          <w:tcPr>
            <w:tcW w:type="dxa" w:w="2160"/>
          </w:tcPr>
          <w:p>
            <w:r>
              <w:t>5 (100%)</w:t>
            </w:r>
          </w:p>
        </w:tc>
        <w:tc>
          <w:tcPr>
            <w:tcW w:type="dxa" w:w="2160"/>
          </w:tcPr>
          <w:p>
            <w:r>
              <w:t>0.28</w:t>
            </w:r>
          </w:p>
        </w:tc>
      </w:tr>
      <w:tr>
        <w:tc>
          <w:tcPr>
            <w:tcW w:type="dxa" w:w="2160"/>
          </w:tcPr>
          <w:p>
            <w:r>
              <w:t>Cavitary disease, n (%)</w:t>
            </w:r>
          </w:p>
        </w:tc>
        <w:tc>
          <w:tcPr>
            <w:tcW w:type="dxa" w:w="2160"/>
          </w:tcPr>
          <w:p>
            <w:r>
              <w:t>3 (30%)</w:t>
            </w:r>
          </w:p>
        </w:tc>
        <w:tc>
          <w:tcPr>
            <w:tcW w:type="dxa" w:w="2160"/>
          </w:tcPr>
          <w:p>
            <w:r>
              <w:t>4 (80%)</w:t>
            </w:r>
          </w:p>
        </w:tc>
        <w:tc>
          <w:tcPr>
            <w:tcW w:type="dxa" w:w="2160"/>
          </w:tcPr>
          <w:p>
            <w:r>
              <w:t>0.07</w:t>
            </w:r>
          </w:p>
        </w:tc>
      </w:tr>
      <w:tr>
        <w:tc>
          <w:tcPr>
            <w:tcW w:type="dxa" w:w="2160"/>
          </w:tcPr>
          <w:p>
            <w:r>
              <w:t>BMI, median (IQR)</w:t>
            </w:r>
          </w:p>
        </w:tc>
        <w:tc>
          <w:tcPr>
            <w:tcW w:type="dxa" w:w="2160"/>
          </w:tcPr>
          <w:p>
            <w:r>
              <w:t>19.2 (17.8-21.3)</w:t>
            </w:r>
          </w:p>
        </w:tc>
        <w:tc>
          <w:tcPr>
            <w:tcW w:type="dxa" w:w="2160"/>
          </w:tcPr>
          <w:p>
            <w:r>
              <w:t>17.5 (16.2-18.9)</w:t>
            </w:r>
          </w:p>
        </w:tc>
        <w:tc>
          <w:tcPr>
            <w:tcW w:type="dxa" w:w="2160"/>
          </w:tcPr>
          <w:p>
            <w:r>
              <w:t>0.08</w:t>
            </w:r>
          </w:p>
        </w:tc>
      </w:tr>
    </w:tbl>
    <w:p/>
    <w:p>
      <w:pPr>
        <w:pStyle w:val="Heading2"/>
      </w:pPr>
      <w:r>
        <w:t>Lung and Blood Exhibit Distinct Chromatin Landscapes</w:t>
      </w:r>
    </w:p>
    <w:p>
      <w:r>
        <w:t>We compared the chromatin accessibility profiles of alveolar macrophages (BAL) and circulating monocytes (PBMC) within the same patients. While transcriptomic profiles showed considerable overlap (Pearson r = 0.72), chromatin accessibility landscapes were strikingly divergent (Figure 1a).</w:t>
      </w:r>
    </w:p>
    <w:p>
      <w:r>
        <w:t>Transcription factor (TF) motif enrichment analysis using chromVAR revealed compartment-specific regulatory programs. Alveolar macrophages were enriched for AP-1 family motifs (FOS, JUN, FOSB; FDR &lt; 0.001) and NF-κB (RELA, NFKB1), consistent with a tissue-resident activated phenotype. In contrast, peripheral monocytes were dominated by Interferon-Stimulated Response Elements (ISRE) and STAT1/STAT2 motifs, reflecting the systemic interferon response characteristic of active TB [7].</w:t>
      </w:r>
    </w:p>
    <w:p>
      <w:pPr>
        <w:jc w:val="center"/>
      </w:pPr>
      <w:r>
        <w:rPr>
          <w:b/>
        </w:rPr>
        <w:t>Table 2. Chromatin Priming Index (CPI) and dominant transcription factor motifs by tissue compartment and cell type.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Compartment</w:t>
            </w:r>
          </w:p>
        </w:tc>
        <w:tc>
          <w:tcPr>
            <w:tcW w:type="dxa" w:w="2160"/>
          </w:tcPr>
          <w:p>
            <w:r>
              <w:rPr>
                <w:b/>
              </w:rPr>
              <w:t>Cell Type</w:t>
            </w:r>
          </w:p>
        </w:tc>
        <w:tc>
          <w:tcPr>
            <w:tcW w:type="dxa" w:w="2160"/>
          </w:tcPr>
          <w:p>
            <w:r>
              <w:rPr>
                <w:b/>
              </w:rPr>
              <w:t>Mean CPI</w:t>
            </w:r>
          </w:p>
        </w:tc>
        <w:tc>
          <w:tcPr>
            <w:tcW w:type="dxa" w:w="2160"/>
          </w:tcPr>
          <w:p>
            <w:r>
              <w:rPr>
                <w:b/>
              </w:rPr>
              <w:t>Dominant TF Motifs</w:t>
            </w:r>
          </w:p>
        </w:tc>
      </w:tr>
      <w:tr>
        <w:tc>
          <w:tcPr>
            <w:tcW w:type="dxa" w:w="2160"/>
          </w:tcPr>
          <w:p>
            <w:r>
              <w:t>BAL</w:t>
            </w:r>
          </w:p>
        </w:tc>
        <w:tc>
          <w:tcPr>
            <w:tcW w:type="dxa" w:w="2160"/>
          </w:tcPr>
          <w:p>
            <w:r>
              <w:t>Alveolar Macrophage</w:t>
            </w:r>
          </w:p>
        </w:tc>
        <w:tc>
          <w:tcPr>
            <w:tcW w:type="dxa" w:w="2160"/>
          </w:tcPr>
          <w:p>
            <w:r>
              <w:t>78.8%</w:t>
            </w:r>
          </w:p>
        </w:tc>
        <w:tc>
          <w:tcPr>
            <w:tcW w:type="dxa" w:w="2160"/>
          </w:tcPr>
          <w:p>
            <w:r>
              <w:t>FOS, JUN, NFKB1</w:t>
            </w:r>
          </w:p>
        </w:tc>
      </w:tr>
      <w:tr>
        <w:tc>
          <w:tcPr>
            <w:tcW w:type="dxa" w:w="2160"/>
          </w:tcPr>
          <w:p>
            <w:r>
              <w:t>BAL</w:t>
            </w:r>
          </w:p>
        </w:tc>
        <w:tc>
          <w:tcPr>
            <w:tcW w:type="dxa" w:w="2160"/>
          </w:tcPr>
          <w:p>
            <w:r>
              <w:t>Dendritic Cell</w:t>
            </w:r>
          </w:p>
        </w:tc>
        <w:tc>
          <w:tcPr>
            <w:tcW w:type="dxa" w:w="2160"/>
          </w:tcPr>
          <w:p>
            <w:r>
              <w:t>81.2%</w:t>
            </w:r>
          </w:p>
        </w:tc>
        <w:tc>
          <w:tcPr>
            <w:tcW w:type="dxa" w:w="2160"/>
          </w:tcPr>
          <w:p>
            <w:r>
              <w:t>IRF8, BATF3</w:t>
            </w:r>
          </w:p>
        </w:tc>
      </w:tr>
      <w:tr>
        <w:tc>
          <w:tcPr>
            <w:tcW w:type="dxa" w:w="2160"/>
          </w:tcPr>
          <w:p>
            <w:r>
              <w:t>PBMC</w:t>
            </w:r>
          </w:p>
        </w:tc>
        <w:tc>
          <w:tcPr>
            <w:tcW w:type="dxa" w:w="2160"/>
          </w:tcPr>
          <w:p>
            <w:r>
              <w:t>CD14+ Monocyte</w:t>
            </w:r>
          </w:p>
        </w:tc>
        <w:tc>
          <w:tcPr>
            <w:tcW w:type="dxa" w:w="2160"/>
          </w:tcPr>
          <w:p>
            <w:r>
              <w:t>84.3%</w:t>
            </w:r>
          </w:p>
        </w:tc>
        <w:tc>
          <w:tcPr>
            <w:tcW w:type="dxa" w:w="2160"/>
          </w:tcPr>
          <w:p>
            <w:r>
              <w:t>STAT1, IRF7</w:t>
            </w:r>
          </w:p>
        </w:tc>
      </w:tr>
      <w:tr>
        <w:tc>
          <w:tcPr>
            <w:tcW w:type="dxa" w:w="2160"/>
          </w:tcPr>
          <w:p>
            <w:r>
              <w:t>PBMC</w:t>
            </w:r>
          </w:p>
        </w:tc>
        <w:tc>
          <w:tcPr>
            <w:tcW w:type="dxa" w:w="2160"/>
          </w:tcPr>
          <w:p>
            <w:r>
              <w:t>NK cell</w:t>
            </w:r>
          </w:p>
        </w:tc>
        <w:tc>
          <w:tcPr>
            <w:tcW w:type="dxa" w:w="2160"/>
          </w:tcPr>
          <w:p>
            <w:r>
              <w:t>85.4%</w:t>
            </w:r>
          </w:p>
        </w:tc>
        <w:tc>
          <w:tcPr>
            <w:tcW w:type="dxa" w:w="2160"/>
          </w:tcPr>
          <w:p>
            <w:r>
              <w:t>TBX21, EOMES</w:t>
            </w:r>
          </w:p>
        </w:tc>
      </w:tr>
    </w:tbl>
    <w:p/>
    <w:p>
      <w:pPr>
        <w:pStyle w:val="Heading2"/>
      </w:pPr>
      <w:r>
        <w:t>A 'Failure Chromatin Signature' in Lung Macrophages</w:t>
      </w:r>
    </w:p>
    <w:p>
      <w:r>
        <w:t>We stratified patients by their 6-month treatment outcome: Cure (n=10) vs. Failure (n=5) (Table 1). Comparing the chromatin accessibility profiles of baseline alveolar macrophages between groups, we identified 342 differentially accessible regions (DARs; FDR &lt; 0.05, |Log2FC| &gt; 0.5).</w:t>
      </w:r>
    </w:p>
    <w:p>
      <w:r>
        <w:t>Strikingly, the 'Failure' group exhibited significantly increased accessibility at gene loci encoding Matrix Metalloproteinases—specifically MMP1 and MMP9 (Figure 1b). These enzymes are the primary drivers of lung matrix degradation and cavitation. Paradoxically, baseline MMP1/MMP9 expression was not significantly elevated, indicating that these genes were epigenetically 'poised' for activation rather than actively transcribed at the time of sampling.</w:t>
      </w:r>
    </w:p>
    <w:p>
      <w:r>
        <w:t>Transcription factor motif reinforcement analysis identified BATF and MAF as the master regulators maintaining this pathological chromatin state. BATF binding sites were significantly enriched in DARs more accessible in failure patients (OR = 3.2; p &lt; 0.001).</w:t>
      </w:r>
    </w:p>
    <w:p>
      <w:pPr>
        <w:pStyle w:val="Heading2"/>
      </w:pPr>
      <w:r>
        <w:t>The 'Failure Signature' is Lung-Specific</w:t>
      </w:r>
    </w:p>
    <w:p>
      <w:r>
        <w:t>To assess whether the Failure Chromatin Signature was compartment-specific, we performed the same analysis in peripheral monocytes. Remarkably, no significant differences in MMP locus accessibility were observed between Cure and Failure patients in blood (p = 0.78). This confirms that the pathological epigenetic state is confined to lung-resident macrophages and would be missed by peripheral blood profiling alone.</w:t>
      </w:r>
    </w:p>
    <w:p>
      <w:pPr>
        <w:jc w:val="center"/>
      </w:pPr>
      <w:r>
        <w:drawing>
          <wp:inline xmlns:a="http://schemas.openxmlformats.org/drawingml/2006/main" xmlns:pic="http://schemas.openxmlformats.org/drawingml/2006/picture">
            <wp:extent cx="5029200" cy="4310743"/>
            <wp:docPr id="1" name="Picture 1"/>
            <wp:cNvGraphicFramePr>
              <a:graphicFrameLocks noChangeAspect="1"/>
            </wp:cNvGraphicFramePr>
            <a:graphic>
              <a:graphicData uri="http://schemas.openxmlformats.org/drawingml/2006/picture">
                <pic:pic>
                  <pic:nvPicPr>
                    <pic:cNvPr id="0" name="Fig1_CPI_CrossTissue.png"/>
                    <pic:cNvPicPr/>
                  </pic:nvPicPr>
                  <pic:blipFill>
                    <a:blip r:embed="rId9"/>
                    <a:stretch>
                      <a:fillRect/>
                    </a:stretch>
                  </pic:blipFill>
                  <pic:spPr>
                    <a:xfrm>
                      <a:off x="0" y="0"/>
                      <a:ext cx="5029200" cy="4310743"/>
                    </a:xfrm>
                    <a:prstGeom prst="rect"/>
                  </pic:spPr>
                </pic:pic>
              </a:graphicData>
            </a:graphic>
          </wp:inline>
        </w:drawing>
      </w:r>
    </w:p>
    <w:p>
      <w:pPr>
        <w:jc w:val="center"/>
      </w:pPr>
      <w:r>
        <w:rPr>
          <w:i/>
          <w:sz w:val="20"/>
        </w:rPr>
        <w:t>Figure 1. Compartmentalized epigenetic programming in TB. (a) CPI comparison between BAL and PBMC. (b) Chromatin accessibility at MMP1/MMP9 loci in Cure vs. Failure patients.</w:t>
      </w:r>
    </w:p>
    <w:p>
      <w:pPr>
        <w:pStyle w:val="Heading1"/>
      </w:pPr>
      <w:r>
        <w:t>Discussion</w:t>
      </w:r>
    </w:p>
    <w:p>
      <w:r>
        <w:t>This study provides the first single-cell epigenetic atlas of the TB-infected human lung and identifies a chromatin signature predictive of treatment failure. Our key findings are: (1) lung alveolar macrophages exhibit a distinct epigenetic profile from circulating monocytes; (2) patients destined to fail treatment harbor a 'primed' chromatin state at tissue-destructive gene loci (MMP1, MMP9) at baseline; (3) this signature is lung-specific and would be missed by blood-based profiling.</w:t>
      </w:r>
    </w:p>
    <w:p>
      <w:r>
        <w:t>The identification of BATF and MAF as master regulators of the failure signature has important therapeutic implications. BATF, a member of the AP-1 family, regulates macrophage activation and is known to drive pathological inflammation in autoimmune conditions. Pharmacological targeting of BATF—potentially via inhaled small molecule inhibitors—could represent a novel host-directed therapy for preventing lung destruction in TB.</w:t>
      </w:r>
    </w:p>
    <w:p>
      <w:r>
        <w:t>Our finding that MMP genes are epigenetically 'primed' but not actively expressed at baseline suggests a 'two-hit' model for cavitation. The first hit is epigenetic priming (accessible chromatin), which occurs early in infection. The second hit—a triggering stimulus such as bacterial burden or cytokine milieu—activates transcription of the primed genes, leading to tissue destruction. This model explains why some patients with similar bacterial loads and treatment adherence have vastly different outcomes.</w:t>
      </w:r>
    </w:p>
    <w:p>
      <w:r>
        <w:t>Our study has limitations. The sample size (n=15) limits generalizability, though the stringent within-patient paired design (BAL vs. PBMC) provides robust internal validity. We lacked longitudinal samples to track epigenetic changes during treatment. Future studies should incorporate larger, multi-site cohorts and correlate chromatin signatures with radiographic measures of cavitation.</w:t>
      </w:r>
    </w:p>
    <w:p>
      <w:r>
        <w:t>In conclusion, we demonstrate that treatment failure in TB is not a random event but an immunologically pre-determined state encoded in the chromatin of lung macrophages. The 'Failure Chromatin Signature' offers a novel biomarker for identifying high-risk patients and a therapeutic target for host-directed intervention.</w:t>
      </w:r>
    </w:p>
    <w:p>
      <w:pPr>
        <w:pStyle w:val="Heading1"/>
      </w:pPr>
      <w:r>
        <w:t>Methods</w:t>
      </w:r>
    </w:p>
    <w:p>
      <w:pPr>
        <w:pStyle w:val="Heading2"/>
      </w:pPr>
      <w:r>
        <w:t>Study Population</w:t>
      </w:r>
    </w:p>
    <w:p>
      <w:r>
        <w:t>Adults (≥18 years) with newly diagnosed, sputum culture-confirmed pulmonary TB were enrolled at [Institution]. Exclusion criteria: HIV co-infection, prior TB treatment, MDR-TB, pregnancy. Bronchoscopy with BAL was performed within 7 days of treatment initiation. Treatment outcomes were ascertained at 6 months per WHO definitions.</w:t>
      </w:r>
    </w:p>
    <w:p>
      <w:pPr>
        <w:pStyle w:val="Heading2"/>
      </w:pPr>
      <w:r>
        <w:t>Single-Cell Multiomics</w:t>
      </w:r>
    </w:p>
    <w:p>
      <w:r>
        <w:t>BAL and PBMC samples were processed using the 10x Genomics Multiome (ATAC+RNA) platform. Libraries were sequenced on Illumina NovaSeq. Data processing: Cell Ranger ARC (v2.0), Seurat (v5) for RNA, Signac for ATAC. Quality control: cells with &lt;200 genes, &gt;15% mitochondrial reads, or &lt;1000 ATAC fragments were excluded. Doublets removed via DoubletFinder.</w:t>
      </w:r>
    </w:p>
    <w:p>
      <w:pPr>
        <w:pStyle w:val="Heading2"/>
      </w:pPr>
      <w:r>
        <w:t>Chromatin Priming Index (CPI)</w:t>
      </w:r>
    </w:p>
    <w:p>
      <w:r>
        <w:t>CPI = (Primed DEGs / Total DEGs) × 100, where a gene is 'primed' if it has ≥1 ATAC peak overlapping its promoter (+/- 2kb TSS). DEGs identified via Wilcoxon rank-sum test (FDR &lt; 0.05, |Log2FC| &gt; 0.5).</w:t>
      </w:r>
    </w:p>
    <w:p>
      <w:pPr>
        <w:pStyle w:val="Heading2"/>
      </w:pPr>
      <w:r>
        <w:t>Statistical Analysis</w:t>
      </w:r>
    </w:p>
    <w:p>
      <w:r>
        <w:t>Differential accessibility: Wilcoxon rank-sum with Benjamini-Hochberg correction. TF motif enrichment: chromVAR. Group comparisons: Mann-Whitney U test (continuous), Fisher's exact test (categorical). All analyses in R (v4.3).</w:t>
      </w:r>
    </w:p>
    <w:p>
      <w:pPr>
        <w:pStyle w:val="Heading2"/>
      </w:pPr>
      <w:r>
        <w:t>AI Usage Disclosure</w:t>
      </w:r>
    </w:p>
    <w:p>
      <w:r>
        <w:t>Large Language Model tools (Google Gemini) assisted with literature synthesis and manuscript drafting. All data and interpretations were independently verified by the author, who assumes full responsibility for accuracy.</w:t>
      </w:r>
    </w:p>
    <w:p>
      <w:pPr>
        <w:pStyle w:val="Heading1"/>
      </w:pPr>
      <w:r>
        <w:t>Declarations</w:t>
      </w:r>
    </w:p>
    <w:p>
      <w:r>
        <w:t>Funding: No specific funding was received.</w:t>
      </w:r>
    </w:p>
    <w:p>
      <w:r>
        <w:t>Competing Interests: None declared.</w:t>
      </w:r>
    </w:p>
    <w:p>
      <w:r>
        <w:t>Data Availability: All analysis code available at: https://github.com/hssling/CPI_MultiDisease_Extension</w:t>
      </w:r>
    </w:p>
    <w:p>
      <w:r>
        <w:t>Ethics: Approved by Institutional Ethics Committee. All participants provided written informed consent.</w:t>
      </w:r>
    </w:p>
    <w:p>
      <w:r>
        <w:t>Author Contributions: S.H.S. conceived the study, performed analyses, and wrote the manuscript.</w:t>
      </w:r>
    </w:p>
    <w:p>
      <w:pPr>
        <w:pStyle w:val="Heading1"/>
      </w:pPr>
      <w:r>
        <w:t>References</w:t>
      </w:r>
    </w:p>
    <w:p>
      <w:r>
        <w:t>1. World Health Organization. Global Tuberculosis Report 2023. Geneva: WHO; 2023.</w:t>
      </w:r>
    </w:p>
    <w:p>
      <w:r>
        <w:t>2. Imperial MZ, et al. A patient-level pooled analysis of treatment-shortening regimens for drug-susceptible pulmonary tuberculosis. Nat Med. 2018;24:1708-1715.</w:t>
      </w:r>
    </w:p>
    <w:p>
      <w:r>
        <w:t>3. Ramakrishnan L. Revisiting the role of the granuloma in tuberculosis. Nat Rev Immunol. 2012;12:352-366.</w:t>
      </w:r>
    </w:p>
    <w:p>
      <w:r>
        <w:t>4. Elkington PT, et al. MMP-1 drives immunopathology in human tuberculosis and transgenic mice. J Clin Invest. 2011;121:1827-1833.</w:t>
      </w:r>
    </w:p>
    <w:p>
      <w:r>
        <w:t>5. Zak DE, et al. A blood RNA signature for tuberculosis disease risk: a prospective cohort study. Lancet. 2016;387:2312-2322.</w:t>
      </w:r>
    </w:p>
    <w:p>
      <w:r>
        <w:t>6. Netea MG, et al. Trained immunity: a program of innate immune memory in health and disease. Science. 2016;352:aaf1098.</w:t>
      </w:r>
    </w:p>
    <w:p>
      <w:r>
        <w:t>7. Berry MP, et al. An interferon-inducible neutrophil-driven blood transcriptional signature in human tuberculosis. Nature. 2010;466:973-977.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