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11, 2026</w:t>
      </w:r>
    </w:p>
    <w:p/>
    <w:p>
      <w:r>
        <w:t>Editor-in-Chief</w:t>
        <w:br/>
        <w:t>Nature Immunology</w:t>
      </w:r>
    </w:p>
    <w:p/>
    <w:p>
      <w:r>
        <w:rPr>
          <w:b/>
        </w:rPr>
        <w:t xml:space="preserve">RE: Article Submission – </w:t>
      </w:r>
      <w:r>
        <w:t>Epigenetic Locking of Vascular and Inflammatory Effectors Defines the Universal Host Response to Severe Infection</w:t>
      </w:r>
    </w:p>
    <w:p/>
    <w:p>
      <w:r>
        <w:t>Dear Editor,</w:t>
      </w:r>
    </w:p>
    <w:p/>
    <w:p>
      <w:r>
        <w:t>I am pleased to submit this Article for consideration in Nature Immunology. This work addresses a fundamental question: Why do pathogens as diverse as Mycobacterium tuberculosis, Dengue virus, and polymicrobial sepsis converge on a shared phenotype of vascular shock?</w:t>
      </w:r>
    </w:p>
    <w:p>
      <w:r>
        <w:t>We develop the Chromatin Priming Index (CPI), a single-cell metric quantifying the epigenetic 'readiness' of immune cells, and demonstrate a conserved 'Epigenetic Alert State' across &gt;55,000 cells from three disease cohorts. Our key discovery—that VEGFA is epigenetically primed in circulating monocytes across all diseases—provides a paradigm-shifting mechanism for the vascular leak syndrome.</w:t>
      </w:r>
    </w:p>
    <w:p>
      <w:r>
        <w:t>This work will be of broad interest to immunologists, infectious disease specialists, and translational researchers seeking host-directed therapeutic targets.</w:t>
      </w:r>
    </w:p>
    <w:p/>
    <w:p>
      <w:pPr>
        <w:pStyle w:val="Heading1"/>
      </w:pPr>
      <w:r>
        <w:t>Disclosures</w:t>
      </w:r>
    </w:p>
    <w:p>
      <w:r>
        <w:t>• No related manuscripts under consideration elsewhere.</w:t>
      </w:r>
    </w:p>
    <w:p>
      <w:r>
        <w:t>• No prior discussions with Nature Immunology editors.</w:t>
      </w:r>
    </w:p>
    <w:p>
      <w:r>
        <w:t>• Single-blind peer review preferred.</w:t>
      </w:r>
    </w:p>
    <w:p/>
    <w:p>
      <w:pPr>
        <w:pStyle w:val="Heading1"/>
      </w:pPr>
      <w:r>
        <w:t>Suggested Reviewers</w:t>
      </w:r>
    </w:p>
    <w:p>
      <w:r>
        <w:t>1. Prof. Mihai G. Netea – Radboud UMC, Netherlands (Trained Immunity)</w:t>
      </w:r>
    </w:p>
    <w:p>
      <w:r>
        <w:t>2. Prof. Maziar Divangahi – McGill University, Canada (TB Epigenetics)</w:t>
      </w:r>
    </w:p>
    <w:p>
      <w:r>
        <w:t>3. Prof. Alan Sher – NIAID, USA (Host-Pathogen Interactions)</w:t>
      </w:r>
    </w:p>
    <w:p/>
    <w:p>
      <w:r>
        <w:t>Sincerely,</w:t>
      </w:r>
    </w:p>
    <w:p/>
    <w:p>
      <w:r>
        <w:t>Dr. Siddalingaiah H S, MD</w:t>
      </w:r>
    </w:p>
    <w:p>
      <w:r>
        <w:t>Professor, Department of Community Medicine</w:t>
      </w:r>
    </w:p>
    <w:p>
      <w:r>
        <w:t>Shridevi Institute of Medical Sciences</w:t>
      </w:r>
    </w:p>
    <w:p>
      <w:r>
        <w:t>Tumkur, India | hssling@yahoo.com | ORCID: 0000-0002-4771-8285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