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Information</w:t>
      </w:r>
    </w:p>
    <w:p>
      <w:r>
        <w:rPr>
          <w:b/>
        </w:rPr>
        <w:t>Chromatin Accessibility Landscapes in the Tuberculosis Lung</w:t>
        <w:br/>
        <w:t>Siddalingaiah H S, MD</w:t>
      </w:r>
    </w:p>
    <w:p>
      <w:pPr>
        <w:pStyle w:val="Heading1"/>
      </w:pPr>
      <w:r>
        <w:t>Supplementary Methods</w:t>
      </w:r>
    </w:p>
    <w:p>
      <w:pPr>
        <w:pStyle w:val="Heading2"/>
      </w:pPr>
      <w:r>
        <w:t>Bronchoscopy and BAL Collection</w:t>
      </w:r>
    </w:p>
    <w:p>
      <w:r>
        <w:t>Fiberoptic bronchoscopy was performed under local anesthesia. BAL was obtained by instilling 100mL sterile saline into the affected lobe. Cells were filtered through 70μm strainers, washed, and cryopreserved in 10% DMSO.</w:t>
      </w:r>
    </w:p>
    <w:p>
      <w:pPr>
        <w:pStyle w:val="Heading2"/>
      </w:pPr>
      <w:r>
        <w:t>Cell Type Annotation</w:t>
      </w:r>
    </w:p>
    <w:p>
      <w:r>
        <w:t>Cell type annotation was performed using canonical markers. BAL: MARCO/FABP4 (Alveolar Mac), CD14/S100A8 (Monocyte), FCER1A/CD1C (DC), CD3D (T cell). PBMC: CD14/LYZ (Monocyte), CD3D (T cell), MS4A1 (B cell), NKG7 (NK cell).</w:t>
      </w:r>
    </w:p>
    <w:p>
      <w:pPr>
        <w:pStyle w:val="Heading1"/>
      </w:pPr>
      <w:r>
        <w:t>Supplementary Tables</w:t>
      </w:r>
    </w:p>
    <w:p>
      <w:r>
        <w:t>Supplementary Table 1: Complete list of 342 differentially accessible regions between Cure and Failure patients (available in GitHub repository).</w:t>
      </w:r>
    </w:p>
    <w:p>
      <w:r>
        <w:t>Supplementary Table 2: Transcription factor motif enrichment results from chromVAR analysis.</w:t>
      </w:r>
    </w:p>
    <w:p>
      <w:pPr>
        <w:pStyle w:val="Heading1"/>
      </w:pPr>
      <w:r>
        <w:t>Supplementary Figures</w:t>
      </w:r>
    </w:p>
    <w:p>
      <w:r>
        <w:t>Supplementary Figure 1: UMAP of integrated BAL and PBMC datasets colored by cell type and tissue compartment.</w:t>
      </w:r>
    </w:p>
    <w:p>
      <w:r>
        <w:t>Supplementary Figure 2: Volcano plot of differentially accessible regions between Cure and Failure patients.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