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11, 2026</w:t>
      </w:r>
    </w:p>
    <w:p/>
    <w:p>
      <w:r>
        <w:t>Editor-in-Chief</w:t>
        <w:br/>
        <w:t>Clinical Infectious Diseases</w:t>
      </w:r>
    </w:p>
    <w:p/>
    <w:p>
      <w:r>
        <w:rPr>
          <w:b/>
        </w:rPr>
        <w:t xml:space="preserve">RE: Major Article Submission – </w:t>
      </w:r>
      <w:r>
        <w:t>Chromatin Accessibility Landscapes in the Tuberculosis Lung Predict Treatment Failure</w:t>
      </w:r>
    </w:p>
    <w:p/>
    <w:p>
      <w:r>
        <w:t>Dear Editor,</w:t>
      </w:r>
    </w:p>
    <w:p/>
    <w:p>
      <w:r>
        <w:t>We are pleased to submit our Major Article for consideration in Clinical Infectious Diseases. This work addresses why 5-10% of drug-susceptible TB patients fail treatment despite adequate therapy—a question with major public health implications for the 10 million new TB cases diagnosed annually.</w:t>
      </w:r>
    </w:p>
    <w:p>
      <w:r>
        <w:t>By performing single-cell epigenetic profiling of the human TB lung (the first such study), we make three key discoveries: (1) Lung alveolar macrophages have a fundamentally distinct chromatin landscape from blood monocytes, dominated by AP-1/NF-κB rather than interferon programs. (2) Patients who fail treatment harbor a 'Failure Chromatin Signature'—epigenetic priming at tissue-destructive MMP genes—detectable at baseline before treatment failure occurs. (3) This signature is lung-specific and would be entirely missed by blood-based. profiling.</w:t>
      </w:r>
    </w:p>
    <w:p>
      <w:r>
        <w:t>Our findings have immediate translational implications: a novel prognostic biomarker for risk stratification, identification of BATF as a druggable therapeutic target, and a conceptual framework for host-directed therapy development.</w:t>
      </w:r>
    </w:p>
    <w:p/>
    <w:p>
      <w:pPr>
        <w:pStyle w:val="Heading1"/>
      </w:pPr>
      <w:r>
        <w:t>Disclosures</w:t>
      </w:r>
    </w:p>
    <w:p>
      <w:r>
        <w:t>• This manuscript has not been published and is not under consideration elsewhere.</w:t>
      </w:r>
    </w:p>
    <w:p>
      <w:r>
        <w:t>• The author declares no conflicts of interest.</w:t>
      </w:r>
    </w:p>
    <w:p>
      <w:r>
        <w:t>• Word count: ~3,000 (excluding abstract and references). Figures: 3. Tables: 3. References: 10.</w:t>
      </w:r>
    </w:p>
    <w:p/>
    <w:p>
      <w:pPr>
        <w:pStyle w:val="Heading1"/>
      </w:pPr>
      <w:r>
        <w:t>Suggested Reviewers</w:t>
      </w:r>
    </w:p>
    <w:p>
      <w:r>
        <w:t>1. Prof. Paul Elkington – University of Southampton, UK (Expert: MMP biology in TB)</w:t>
      </w:r>
    </w:p>
    <w:p>
      <w:r>
        <w:t>2. Prof. Joel Ernst – University of California San Francisco, USA (Expert: TB macrophage immunology)</w:t>
      </w:r>
    </w:p>
    <w:p>
      <w:r>
        <w:t>3. Prof. Douglas Kwon – MGH/Ragon Institute, USA (Expert: Single-cell profiling in TB)</w:t>
      </w:r>
    </w:p>
    <w:p/>
    <w:p>
      <w:r>
        <w:t>Sincerely,</w:t>
      </w:r>
    </w:p>
    <w:p/>
    <w:p>
      <w:r>
        <w:t>Dr. Siddalingaiah H S, MD</w:t>
      </w:r>
    </w:p>
    <w:p>
      <w:r>
        <w:t>Professor, Department of Community Medicine</w:t>
      </w:r>
    </w:p>
    <w:p>
      <w:r>
        <w:t>Shridevi Institute of Medical Sciences and Research Hospital</w:t>
      </w:r>
    </w:p>
    <w:p>
      <w:r>
        <w:t>Tumkur, Karnataka, India</w:t>
      </w:r>
    </w:p>
    <w:p>
      <w:r>
        <w:t>Email: hssling@yahoo.com | ORCID: 0000-0002-4771-8285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