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11, 2026</w:t>
      </w:r>
    </w:p>
    <w:p/>
    <w:p>
      <w:r>
        <w:t>Editor-in-Chief</w:t>
        <w:br/>
        <w:t>Clinical Infectious Diseases</w:t>
      </w:r>
    </w:p>
    <w:p/>
    <w:p>
      <w:r>
        <w:rPr>
          <w:b/>
        </w:rPr>
        <w:t xml:space="preserve">RE: Methods/Computational Article – </w:t>
      </w:r>
      <w:r>
        <w:t>Chromatin Priming Index Reveals Compartmentalized Epigenetic Programming in Tuberculosis</w:t>
      </w:r>
    </w:p>
    <w:p/>
    <w:p>
      <w:r>
        <w:t>Dear Editor,</w:t>
      </w:r>
    </w:p>
    <w:p/>
    <w:p>
      <w:r>
        <w:t>We submit our computational methods article introducing the Chromatin Priming Index (CPI), a novel metric for quantifying epigenetic readiness in single-cell multiomics data. By re-analyzing published TB datasets from GEO, we demonstrate distinct compartment-specific chromatin landscapes and identify MMP accessibility as a hypothesis-generating observation.</w:t>
      </w:r>
    </w:p>
    <w:p>
      <w:r>
        <w:t>We emphasize full transparency: this is a secondary analysis of public data, and our MMP priming hypothesis requires prospective validation. We believe this computational framework will interest CID readers and stimulate future clinical studies.</w:t>
      </w:r>
    </w:p>
    <w:p/>
    <w:p>
      <w:pPr>
        <w:pStyle w:val="Heading1"/>
      </w:pPr>
      <w:r>
        <w:t>Disclosures</w:t>
      </w:r>
    </w:p>
    <w:p>
      <w:r>
        <w:t>• This is a computational re-analysis; no new patient data were collected.</w:t>
      </w:r>
    </w:p>
    <w:p>
      <w:r>
        <w:t>• The author declares no conflicts of interest.</w:t>
      </w:r>
    </w:p>
    <w:p>
      <w:r>
        <w:t>• Word count: ~2,500. Figures: 3. Tables: 3. References: 10.</w:t>
      </w:r>
    </w:p>
    <w:p/>
    <w:p>
      <w:r>
        <w:t>Sincerely,</w:t>
      </w:r>
    </w:p>
    <w:p/>
    <w:p>
      <w:r>
        <w:t>Dr. Siddalingaiah H S, MD</w:t>
      </w:r>
    </w:p>
    <w:p>
      <w:r>
        <w:t>Professor, Department of Community Medicine</w:t>
      </w:r>
    </w:p>
    <w:p>
      <w:r>
        <w:t>Shridevi Institute of Medical Sciences</w:t>
      </w:r>
    </w:p>
    <w:p>
      <w:r>
        <w:t>Email: hssling@yahoo.com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