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Supplementary Information</w:t>
      </w:r>
    </w:p>
    <w:p>
      <w:r>
        <w:rPr>
          <w:b/>
        </w:rPr>
        <w:t>Chromatin Priming Index in Tuberculosis: A Computational Re-Analysis</w:t>
        <w:br/>
        <w:t>Siddalingaiah H S, MD</w:t>
      </w:r>
    </w:p>
    <w:p>
      <w:pPr>
        <w:pStyle w:val="Heading1"/>
      </w:pPr>
      <w:r>
        <w:t>Supplementary Methods</w:t>
      </w:r>
    </w:p>
    <w:p>
      <w:pPr>
        <w:pStyle w:val="Heading2"/>
      </w:pPr>
      <w:r>
        <w:t>Limitations and Transparency</w:t>
      </w:r>
    </w:p>
    <w:p>
      <w:r>
        <w:t>This study has important limitations that readers should consider:</w:t>
        <w:br/>
        <w:t>1. NO TREATMENT OUTCOME DATA: The public datasets analyzed do not contain treatment outcome information. All hypotheses regarding prognostic utility require prospective validation.</w:t>
        <w:br/>
        <w:t>2. HETEROGENEOUS DATA SOURCES: GSE167232 contains healthy control BAL (not TB patient BAL), while GSE287288 is from disseminated TB (not pulmonary TB). Integration of these datasets may introduce biases.</w:t>
        <w:br/>
        <w:t>3. COMPUTATIONAL ANALYSIS: CPI is a computational metric derived from re-analysis. No new experimental data were generated.</w:t>
      </w:r>
    </w:p>
    <w:p>
      <w:pPr>
        <w:pStyle w:val="Heading1"/>
      </w:pPr>
      <w:r>
        <w:t>Supplementary Tables</w:t>
      </w:r>
    </w:p>
    <w:p>
      <w:r>
        <w:t>Supplementary Table 1: Complete CPI values for all cell types with source data references.</w:t>
      </w:r>
    </w:p>
    <w:p>
      <w:r>
        <w:t>Supplementary Table 2: Quality control metrics and filtering criteria.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