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11, 2026</w:t>
      </w:r>
    </w:p>
    <w:p/>
    <w:p>
      <w:r>
        <w:t>Editor-in-Chief</w:t>
      </w:r>
    </w:p>
    <w:p>
      <w:r>
        <w:t>Nature Immunology</w:t>
      </w:r>
    </w:p>
    <w:p/>
    <w:p>
      <w:r>
        <w:rPr>
          <w:b/>
        </w:rPr>
        <w:t xml:space="preserve">RE: </w:t>
      </w:r>
      <w:r>
        <w:t>Article Submission - Epigenetic Locking of Vascular and Inflammatory Effectors Defines the Universal Host Response to Severe Infection</w:t>
      </w:r>
    </w:p>
    <w:p/>
    <w:p>
      <w:r>
        <w:t>Dear Editor,</w:t>
      </w:r>
    </w:p>
    <w:p/>
    <w:p>
      <w:r>
        <w:t>We are pleased to submit our Article entitled 'Epigenetic Locking of Vascular and Inflammatory Effectors Defines the Universal Host Response to Severe Infection' for consideration as an original research Article in Nature Immunology.</w:t>
      </w:r>
    </w:p>
    <w:p>
      <w:r>
        <w:t>This work addresses a fundamental question in host-pathogen immunology: Why do pathogens as distinct as Mycobacterium tuberculosis, Dengue virus, and polymicrobial sepsis converge on a shared phenotype of systemic inflammation and vascular shock? We introduce the Chromatin Priming Index (CPI), a novel single-cell metric that quantifies the epigenetic 'readiness' of immune cells, and demonstrate a conserved 'Epigenetic Alert State' across &gt;55,000 cells from three disease cohorts.</w:t>
      </w:r>
    </w:p>
    <w:p>
      <w:r>
        <w:t>Our key discovery—that VEGFA, the primary driver of vascular permeability, is epigenetically primed and upregulated in circulating monocytes across all diseases—provides a paradigm-shifting mechanism for the vascular leak syndrome. This finding challenges the prevailing view that endothelial cells are the sole source of VEGFA in infection and opens new avenues for host-directed therapeutic intervention.</w:t>
      </w:r>
    </w:p>
    <w:p>
      <w:r>
        <w:t>We believe this work will be of broad interest to the diverse readership of Nature Immunology, including researchers in innate immunity, epigenetics, infectious diseases, and translational medicine.</w:t>
      </w:r>
    </w:p>
    <w:p/>
    <w:p>
      <w:pPr>
        <w:pStyle w:val="Heading1"/>
      </w:pPr>
      <w:r>
        <w:t>Disclosures</w:t>
      </w:r>
    </w:p>
    <w:p>
      <w:r>
        <w:t>• Related Manuscripts: No related manuscripts are under consideration or in press elsewhere.</w:t>
      </w:r>
    </w:p>
    <w:p>
      <w:r>
        <w:t>• Prior Discussions: No prior discussions have been held with Nature Immunology editors regarding this work.</w:t>
      </w:r>
    </w:p>
    <w:p>
      <w:r>
        <w:t>• Peer Review: We request standard single-blind peer review.</w:t>
      </w:r>
    </w:p>
    <w:p/>
    <w:p>
      <w:pPr>
        <w:pStyle w:val="Heading1"/>
      </w:pPr>
      <w:r>
        <w:t>Suggested Reviewers</w:t>
      </w:r>
    </w:p>
    <w:p>
      <w:r>
        <w:t>We suggest the following experts who are qualified to evaluate this work:</w:t>
      </w:r>
    </w:p>
    <w:p>
      <w:r>
        <w:t>1. Prof. Mihai G. Netea - Radboud University Medical Center, Netherlands. Pioneer of the Trained Immunity concept.</w:t>
      </w:r>
    </w:p>
    <w:p>
      <w:r>
        <w:t>2. Prof. Maziar Divangahi - McGill University, Canada. Expert in TB immunology and macrophage epigenetics.</w:t>
      </w:r>
    </w:p>
    <w:p>
      <w:r>
        <w:t>3. Prof. Alan Sher - NIAID, NIH, USA. Leader in host-pathogen interactions and innate immunity.</w:t>
      </w:r>
    </w:p>
    <w:p/>
    <w:p>
      <w:r>
        <w:t>Thank you for considering our manuscript. We look forward to your response.</w:t>
      </w:r>
    </w:p>
    <w:p/>
    <w:p>
      <w:r>
        <w:t>Sincerely,</w:t>
      </w:r>
    </w:p>
    <w:p/>
    <w:p>
      <w:r>
        <w:t>Dr. Siddalingaiah H S, MD</w:t>
      </w:r>
    </w:p>
    <w:p>
      <w:r>
        <w:t>Professor, Department of Community Medicine</w:t>
      </w:r>
    </w:p>
    <w:p>
      <w:r>
        <w:t>Shridevi Institute of Medical Sciences and Research Hospital</w:t>
      </w:r>
    </w:p>
    <w:p>
      <w:r>
        <w:t>Tumkur, Karnataka, India - 572106</w:t>
      </w:r>
    </w:p>
    <w:p>
      <w:r>
        <w:t>Email: hssling@yahoo.com</w:t>
      </w:r>
    </w:p>
    <w:p>
      <w:r>
        <w:t>ORCID: 0000-0002-4771-8285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