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Information</w:t>
      </w:r>
    </w:p>
    <w:p>
      <w:r>
        <w:rPr>
          <w:b/>
        </w:rPr>
        <w:t>Chromatin Accessibility Landscapes in the Tuberculosis Lung</w:t>
        <w:br/>
        <w:t>Siddalingaiah H S, MD</w:t>
      </w:r>
    </w:p>
    <w:p>
      <w:pPr>
        <w:pStyle w:val="Heading1"/>
      </w:pPr>
      <w:r>
        <w:t>Supplementary Methods</w:t>
      </w:r>
    </w:p>
    <w:p>
      <w:pPr>
        <w:pStyle w:val="Heading2"/>
      </w:pPr>
      <w:r>
        <w:t>Power Calculation</w:t>
      </w:r>
    </w:p>
    <w:p>
      <w:r>
        <w:t>Sample size was determined based on preliminary data suggesting a large effect size (Cohen's d &gt; 1.0) for chromatin accessibility differences. With n=15 patients (10 cured, 5 failed) and α=0.05, we estimated 80% power to detect a Log2FC &gt; 1.0 in accessibility.</w:t>
      </w:r>
    </w:p>
    <w:p>
      <w:pPr>
        <w:pStyle w:val="Heading2"/>
      </w:pPr>
      <w:r>
        <w:t>Bronchoscopy Safety</w:t>
      </w:r>
    </w:p>
    <w:p>
      <w:r>
        <w:t>All bronchoscopies were performed by a trained pulmonologist in a negative-pressure procedure room. The procedure was well-tolerated; no serious adverse events occurred. Minor complications included transient cough (n=3) and low-grade fever (n=2).</w:t>
      </w:r>
    </w:p>
    <w:p>
      <w:pPr>
        <w:pStyle w:val="Heading1"/>
      </w:pPr>
      <w:r>
        <w:t>Supplementary Tables</w:t>
      </w:r>
    </w:p>
    <w:p>
      <w:r>
        <w:t>Supplementary Table 1: Complete list of 342 differentially accessible regions (DARs) with genomic coordinates, associated genes, Log2FC, and FDR values.</w:t>
      </w:r>
    </w:p>
    <w:p>
      <w:r>
        <w:t>Supplementary Table 2: Full chromVAR transcription factor motif enrichment results for BAL vs. PBMC and Cure vs. Failure comparisons.</w:t>
      </w:r>
    </w:p>
    <w:p>
      <w:r>
        <w:t>Supplementary Table 3: Gene Ontology enrichment analysis results for Failure-associated DARs.</w:t>
      </w:r>
    </w:p>
    <w:p>
      <w:pPr>
        <w:pStyle w:val="Heading1"/>
      </w:pPr>
      <w:r>
        <w:t>Supplementary Figures</w:t>
      </w:r>
    </w:p>
    <w:p>
      <w:r>
        <w:t>Supplementary Figure 1: Quality control metrics for single-cell Multiome data (gene count, UMI count, mitochondrial fraction, ATAC fragments, TSS enrichment).</w:t>
      </w:r>
    </w:p>
    <w:p>
      <w:r>
        <w:t>Supplementary Figure 2: UMAP projections colored by individual patient, demonstrating successful batch correction.</w:t>
      </w:r>
    </w:p>
    <w:p>
      <w:r>
        <w:t>Supplementary Figure 3: Volcano plot of differentially accessible regions between Cure and Failure patients in alveolar macrophages.</w:t>
      </w:r>
    </w:p>
    <w:p>
      <w:r>
        <w:t>Supplementary Figure 4: Correlation matrix of MMP1/MMP9 accessibility with clinical parameters (BMI, smear grade, cavity size).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