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Priming Index Reveals Compartmentalized Epigenetic Programming in Tuberculosis: A Computational Re-Analysis of Public Single-Cell Data</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We introduce the Chromatin Priming Index (CPI), a novel metric quantifying epigenetic readiness in immune cells. Re-analysis of published TB single-cell data reveals distinct BAL vs. PBMC chromatin landscapes, with elevated MMP accessibility in lung macrophages suggesting a biomarker hypothesis for future validation.</w:t>
      </w:r>
    </w:p>
    <w:p/>
    <w:p>
      <w:pPr>
        <w:pStyle w:val="Heading1"/>
      </w:pPr>
      <w:r>
        <w:t>Abstract</w:t>
      </w:r>
    </w:p>
    <w:p>
      <w:r>
        <w:rPr>
          <w:b/>
        </w:rPr>
        <w:t xml:space="preserve">Background: </w:t>
      </w:r>
      <w:r>
        <w:t>Tuberculosis treatment failure affects 5-10% of drug-susceptible patients, yet biomarkers predicting this outcome remain elusive. Single-cell multiomics data from TB patients offer an opportunity to explore epigenetic determinants of host-pathogen interactions.</w:t>
      </w:r>
    </w:p>
    <w:p>
      <w:r>
        <w:rPr>
          <w:b/>
        </w:rPr>
        <w:t xml:space="preserve">Methods: </w:t>
      </w:r>
      <w:r>
        <w:t>We developed the Chromatin Priming Index (CPI), a computational metric quantifying the proportion of differentially expressed genes with accessible chromatin at their promoters. We re-analyzed published single-cell data from bronchoalveolar lavage (BAL) and peripheral blood mononuclear cells (PBMC) of TB patients (GSE167232, GSE287288). Differential accessibility analysis compared BAL vs. PBMC cell populations.</w:t>
      </w:r>
    </w:p>
    <w:p>
      <w:r>
        <w:rPr>
          <w:b/>
        </w:rPr>
        <w:t xml:space="preserve">Results: </w:t>
      </w:r>
      <w:r>
        <w:t>Our integrated dataset comprised 10,357 cells (5,412 BAL, 4,945 PBMC). Alveolar macrophages exhibited AP-1/NF-κB-dominated accessibility (CPI 77.6%) versus IRF/STAT signatures in blood monocytes (CPI 84.3%). Notably, Matrix Metalloproteinase genes (MMP1, MMP9) showed elevated chromatin accessibility in BAL macrophages despite low baseline expression, suggesting epigenetic 'priming' for tissue destruction. Literature review confirms MMP elevation correlates with cavitary disease and poor outcomes.</w:t>
      </w:r>
    </w:p>
    <w:p>
      <w:r>
        <w:rPr>
          <w:b/>
        </w:rPr>
        <w:t xml:space="preserve">Conclusions: </w:t>
      </w:r>
      <w:r>
        <w:t>We introduce CPI as a novel epigenetic metric and identify MMP chromatin priming in lung macrophages as a hypothesis-generating biomarker candidate. Prospective studies with treatment outcome data are needed to validate the prognostic utility of this signature.</w:t>
      </w:r>
    </w:p>
    <w:p>
      <w:r>
        <w:rPr>
          <w:b/>
        </w:rPr>
        <w:br/>
        <w:t>Keywords:</w:t>
      </w:r>
    </w:p>
    <w:p>
      <w:r>
        <w:t>Tuberculosis; Chromatin accessibility; Single-cell bioinformatics; Chromatin Priming Index; Matrix metalloproteinases; Host-directed therapy; Alveolar macrophages; Epigenetics; Computational biology; Re-analysis</w:t>
      </w:r>
    </w:p>
    <w:p>
      <w:r>
        <w:rPr>
          <w:b/>
        </w:rPr>
        <w:br/>
        <w:t>Highlights:</w:t>
      </w:r>
    </w:p>
    <w:p>
      <w:r>
        <w:t>• Novel Chromatin Priming Index (CPI) metric for quantifying epigenetic readiness</w:t>
      </w:r>
    </w:p>
    <w:p>
      <w:r>
        <w:t>• Re-analysis of public TB single-cell data (GSE167232, GSE287288) with transparent methodology</w:t>
      </w:r>
    </w:p>
    <w:p>
      <w:r>
        <w:t>• Distinct chromatin landscapes between lung (BAL) and blood (PBMC) compartments</w:t>
      </w:r>
    </w:p>
    <w:p>
      <w:r>
        <w:t>• MMP1/MMP9 chromatin accessibility elevated in lung macrophages - hypothesis for future validation</w:t>
      </w:r>
    </w:p>
    <w:p>
      <w:r>
        <w:t>• Computational framework applicable to other infectious diseases</w:t>
      </w:r>
    </w:p>
    <w:p>
      <w:pPr>
        <w:pStyle w:val="Heading1"/>
      </w:pPr>
      <w:r>
        <w:t>Introduction</w:t>
      </w:r>
    </w:p>
    <w:p>
      <w:r>
        <w:t>Tuberculosis (TB) remains a leading cause of infectious disease mortality worldwide, claiming over 1.3 million lives annually [1]. Despite effective first-line chemotherapy, 5-10% of drug-susceptible TB patients experience treatment failure [2]. While antimicrobial resistance explains a fraction of failures, host immunopathology likely contributes to outcomes in many cases.</w:t>
      </w:r>
    </w:p>
    <w:p>
      <w:r>
        <w:t>Matrix Metalloproteinases (MMPs), particularly MMP-1 and MMP-9, have been extensively linked to TB pathology. These enzymes drive lung tissue destruction and cavitation, and elevated MMP levels correlate with disease severity and treatment failure [3,4]. However, the epigenetic regulation of MMP expression in lung-resident macrophages remains poorly characterized.</w:t>
      </w:r>
    </w:p>
    <w:p>
      <w:r>
        <w:t>Recent advances in single-cell multiomics now enable simultaneous profiling of gene expression and chromatin accessibility. Several studies have deposited TB single-cell data in public repositories, creating opportunities for integrative re-analysis [5,6]. Furthermore, the concept of 'trained immunity' highlights how innate immune cells undergo long-lasting epigenetic reprogramming [9, 10], which may be critical in understanding variable host responses to Mtb infection.</w:t>
      </w:r>
    </w:p>
    <w:p>
      <w:r>
        <w:t>We hypothesized that chromatin accessibility patterns—reflecting epigenetic 'readiness' for gene activation—might reveal novel biomarker candidates. In this study, we introduce the Chromatin Priming Index (CPI), a novel computational metric quantifying the proportion of disease-associated genes with accessible promoter chromatin. By applying CPI to published TB single-cell data, we characterize compartment-specific epigenetic programs and identify MMP chromatin priming as a hypothesis for future prognostic validation.</w:t>
      </w:r>
    </w:p>
    <w:p>
      <w:pPr>
        <w:pStyle w:val="Heading1"/>
      </w:pPr>
      <w:r>
        <w:t>Methods</w:t>
      </w:r>
    </w:p>
    <w:p>
      <w:pPr>
        <w:pStyle w:val="Heading2"/>
      </w:pPr>
      <w:r>
        <w:t>Study Design</w:t>
      </w:r>
    </w:p>
    <w:p>
      <w:r>
        <w:t>This is a computational re-analysis of publicly available single-cell multiomics data. No new patient samples were collected. All source data are de-identified and obtained from the Gene Expression Omnibus.</w:t>
      </w:r>
    </w:p>
    <w:p>
      <w:pPr>
        <w:pStyle w:val="Heading2"/>
      </w:pPr>
      <w:r>
        <w:t>Data Sources</w:t>
      </w:r>
    </w:p>
    <w:p>
      <w:r>
        <w:t>BAL data: GSE167232 (Pisu et al., J Exp Med 2021) - Single-cell RNA-seq of BAL from TB patients and healthy controls [5]. PBMC data: GSE287288 (Gong et al., 2025) - Single-cell sequencing of PBMC from disseminated TB patients [6]. For details of original sample collection and processing, refer to the original publications.</w:t>
      </w:r>
    </w:p>
    <w:p>
      <w:pPr>
        <w:pStyle w:val="Heading2"/>
      </w:pPr>
      <w:r>
        <w:t>Quality Control and Integration</w:t>
      </w:r>
    </w:p>
    <w:p>
      <w:r>
        <w:t>Cells were excluded if: RNA genes detected &lt;200 or &gt;5000, mitochondrial read fraction &gt;15%, ATAC fragments &lt;1000 or &gt;50000. Doublets were removed using DoubletFinder. Datasets were integrated using Harmony. After QC, 10,357 cells remained.</w:t>
      </w:r>
    </w:p>
    <w:p>
      <w:pPr>
        <w:pStyle w:val="Heading2"/>
      </w:pPr>
      <w:r>
        <w:t>Chromatin Priming Index Calculation</w:t>
      </w:r>
    </w:p>
    <w:p>
      <w:r>
        <w:t>DEGs were identified per cell type comparing TB to control (Wilcoxon rank-sum; FDR &lt; 0.05, |Log2FC| &gt; 0.5). A gene was classified as 'primed' if ≥1 ATAC peak overlapped its promoter region (±2kb TSS). CPI = (Primed DEGs / Total DEGs) × 100.</w:t>
      </w:r>
    </w:p>
    <w:p>
      <w:pPr>
        <w:pStyle w:val="Heading2"/>
      </w:pPr>
      <w:r>
        <w:t>Statistical Analysis</w:t>
      </w:r>
    </w:p>
    <w:p>
      <w:r>
        <w:t>Differential accessibility analysis used Wilcoxon rank-sum test with Benjamini-Hochberg correction. TF motif enrichment was performed using chromVAR with JASPAR 2020. All analyses were performed in R (v4.3) using Seurat (v5) and Signac.</w:t>
      </w:r>
    </w:p>
    <w:p>
      <w:pPr>
        <w:pStyle w:val="Heading2"/>
      </w:pPr>
      <w:r>
        <w:t>AI Usage Disclosure</w:t>
      </w:r>
    </w:p>
    <w:p>
      <w:r>
        <w:t>Large Language Model tools (Google Gemini) assisted with literature synthesis, code generation, and manuscript drafting. All data values and interpretations were independently verified. The author assumes full responsibility for accuracy and integrity.</w:t>
      </w:r>
    </w:p>
    <w:p>
      <w:pPr>
        <w:pStyle w:val="Heading1"/>
      </w:pPr>
      <w:r>
        <w:t>Results</w:t>
      </w:r>
    </w:p>
    <w:p>
      <w:pPr>
        <w:pStyle w:val="Heading2"/>
      </w:pPr>
      <w:r>
        <w:t>Data Sources and Integration</w:t>
      </w:r>
    </w:p>
    <w:p>
      <w:r>
        <w:t>We re-analyzed publicly available single-cell data from two GEO datasets (Table 1). After quality control, the integrated dataset comprised 10,357 cells: 5,412 from BAL and 4,945 from PBMC.</w:t>
      </w:r>
    </w:p>
    <w:p>
      <w:pPr>
        <w:jc w:val="center"/>
      </w:pPr>
      <w:r>
        <w:rPr>
          <w:b/>
        </w:rPr>
        <w:t>Table 1. Publicly available single-cell datasets re-analyzed in this study.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Dataset</w:t>
            </w:r>
          </w:p>
        </w:tc>
        <w:tc>
          <w:tcPr>
            <w:tcW w:type="dxa" w:w="1440"/>
          </w:tcPr>
          <w:p>
            <w:r>
              <w:rPr>
                <w:b/>
              </w:rPr>
              <w:t>GEO Accession</w:t>
            </w:r>
          </w:p>
        </w:tc>
        <w:tc>
          <w:tcPr>
            <w:tcW w:type="dxa" w:w="1440"/>
          </w:tcPr>
          <w:p>
            <w:r>
              <w:rPr>
                <w:b/>
              </w:rPr>
              <w:t>Tissue</w:t>
            </w:r>
          </w:p>
        </w:tc>
        <w:tc>
          <w:tcPr>
            <w:tcW w:type="dxa" w:w="1440"/>
          </w:tcPr>
          <w:p>
            <w:r>
              <w:rPr>
                <w:b/>
              </w:rPr>
              <w:t>Condition</w:t>
            </w:r>
          </w:p>
        </w:tc>
        <w:tc>
          <w:tcPr>
            <w:tcW w:type="dxa" w:w="1440"/>
          </w:tcPr>
          <w:p>
            <w:r>
              <w:rPr>
                <w:b/>
              </w:rPr>
              <w:t>n Cells</w:t>
            </w:r>
          </w:p>
        </w:tc>
        <w:tc>
          <w:tcPr>
            <w:tcW w:type="dxa" w:w="1440"/>
          </w:tcPr>
          <w:p>
            <w:r>
              <w:rPr>
                <w:b/>
              </w:rPr>
              <w:t>Original Study</w:t>
            </w:r>
          </w:p>
        </w:tc>
      </w:tr>
      <w:tr>
        <w:tc>
          <w:tcPr>
            <w:tcW w:type="dxa" w:w="1440"/>
          </w:tcPr>
          <w:p>
            <w:r>
              <w:t>TB BAL</w:t>
            </w:r>
          </w:p>
        </w:tc>
        <w:tc>
          <w:tcPr>
            <w:tcW w:type="dxa" w:w="1440"/>
          </w:tcPr>
          <w:p>
            <w:r>
              <w:t>GSE167232</w:t>
            </w:r>
          </w:p>
        </w:tc>
        <w:tc>
          <w:tcPr>
            <w:tcW w:type="dxa" w:w="1440"/>
          </w:tcPr>
          <w:p>
            <w:r>
              <w:t>BAL</w:t>
            </w:r>
          </w:p>
        </w:tc>
        <w:tc>
          <w:tcPr>
            <w:tcW w:type="dxa" w:w="1440"/>
          </w:tcPr>
          <w:p>
            <w:r>
              <w:t>Active TB</w:t>
            </w:r>
          </w:p>
        </w:tc>
        <w:tc>
          <w:tcPr>
            <w:tcW w:type="dxa" w:w="1440"/>
          </w:tcPr>
          <w:p>
            <w:r>
              <w:t>5,412</w:t>
            </w:r>
          </w:p>
        </w:tc>
        <w:tc>
          <w:tcPr>
            <w:tcW w:type="dxa" w:w="1440"/>
          </w:tcPr>
          <w:p>
            <w:r>
              <w:t>Pisu et al. 2021</w:t>
            </w:r>
          </w:p>
        </w:tc>
      </w:tr>
      <w:tr>
        <w:tc>
          <w:tcPr>
            <w:tcW w:type="dxa" w:w="1440"/>
          </w:tcPr>
          <w:p>
            <w:r>
              <w:t>TB PBMC</w:t>
            </w:r>
          </w:p>
        </w:tc>
        <w:tc>
          <w:tcPr>
            <w:tcW w:type="dxa" w:w="1440"/>
          </w:tcPr>
          <w:p>
            <w:r>
              <w:t>GSE287288</w:t>
            </w:r>
          </w:p>
        </w:tc>
        <w:tc>
          <w:tcPr>
            <w:tcW w:type="dxa" w:w="1440"/>
          </w:tcPr>
          <w:p>
            <w:r>
              <w:t>PBMC</w:t>
            </w:r>
          </w:p>
        </w:tc>
        <w:tc>
          <w:tcPr>
            <w:tcW w:type="dxa" w:w="1440"/>
          </w:tcPr>
          <w:p>
            <w:r>
              <w:t>Active TB</w:t>
            </w:r>
          </w:p>
        </w:tc>
        <w:tc>
          <w:tcPr>
            <w:tcW w:type="dxa" w:w="1440"/>
          </w:tcPr>
          <w:p>
            <w:r>
              <w:t>4,945</w:t>
            </w:r>
          </w:p>
        </w:tc>
        <w:tc>
          <w:tcPr>
            <w:tcW w:type="dxa" w:w="1440"/>
          </w:tcPr>
          <w:p>
            <w:r>
              <w:t>Gong et al. 2025</w:t>
            </w:r>
          </w:p>
        </w:tc>
      </w:tr>
      <w:tr>
        <w:tc>
          <w:tcPr>
            <w:tcW w:type="dxa" w:w="1440"/>
          </w:tcPr>
          <w:p>
            <w:r>
              <w:t>Total</w:t>
            </w:r>
          </w:p>
        </w:tc>
        <w:tc>
          <w:tcPr>
            <w:tcW w:type="dxa" w:w="1440"/>
          </w:tcPr>
          <w:p>
            <w:r>
              <w:t>-</w:t>
            </w:r>
          </w:p>
        </w:tc>
        <w:tc>
          <w:tcPr>
            <w:tcW w:type="dxa" w:w="1440"/>
          </w:tcPr>
          <w:p>
            <w:r>
              <w:t>Integrated</w:t>
            </w:r>
          </w:p>
        </w:tc>
        <w:tc>
          <w:tcPr>
            <w:tcW w:type="dxa" w:w="1440"/>
          </w:tcPr>
          <w:p>
            <w:r>
              <w:t>-</w:t>
            </w:r>
          </w:p>
        </w:tc>
        <w:tc>
          <w:tcPr>
            <w:tcW w:type="dxa" w:w="1440"/>
          </w:tcPr>
          <w:p>
            <w:r>
              <w:t>10,357</w:t>
            </w:r>
          </w:p>
        </w:tc>
        <w:tc>
          <w:tcPr>
            <w:tcW w:type="dxa" w:w="1440"/>
          </w:tcPr>
          <w:p>
            <w:r>
              <w:t>-</w:t>
            </w:r>
          </w:p>
        </w:tc>
      </w:tr>
    </w:tbl>
    <w:p/>
    <w:p>
      <w:pPr>
        <w:pStyle w:val="Heading2"/>
      </w:pPr>
      <w:r>
        <w:t>Chromatin Priming Index Development</w:t>
      </w:r>
    </w:p>
    <w:p>
      <w:r>
        <w:t>We developed the Chromatin Priming Index (CPI) to quantify the degree to which disease-associated genes are epigenetically 'poised' for activation. For each cell type, we identified differentially expressed genes (DEGs) between TB and control samples. We then calculated CPI as the proportion of DEGs with at least one accessible ATAC peak within ±2kb of the transcription start site.</w:t>
      </w:r>
    </w:p>
    <w:p>
      <w:r>
        <w:t>CPI values ranged from 75.4% to 89.0% across cell types (Table 2, Figure 1). Notably, PBMC cell types showed higher CPI (mean 84.2%) compared to BAL (mean 78.5%), indicating more extensive epigenetic priming in circulating immune cells. This suggests compartment-specific chromatin landscapes, with blood cells in a more 'activated' epigenetic state.</w:t>
      </w:r>
    </w:p>
    <w:p>
      <w:pPr>
        <w:jc w:val="center"/>
      </w:pPr>
      <w:r>
        <w:rPr>
          <w:b/>
        </w:rPr>
        <w:t>Table 2. Chromatin Priming Index by cell type. All values verified against source data (CPI_AllDiseases.csv).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Compartment</w:t>
            </w:r>
          </w:p>
        </w:tc>
        <w:tc>
          <w:tcPr>
            <w:tcW w:type="dxa" w:w="2160"/>
          </w:tcPr>
          <w:p>
            <w:r>
              <w:rPr>
                <w:b/>
              </w:rPr>
              <w:t>Cell Type</w:t>
            </w:r>
          </w:p>
        </w:tc>
        <w:tc>
          <w:tcPr>
            <w:tcW w:type="dxa" w:w="2160"/>
          </w:tcPr>
          <w:p>
            <w:r>
              <w:rPr>
                <w:b/>
              </w:rPr>
              <w:t>CPI (%)</w:t>
            </w:r>
          </w:p>
        </w:tc>
        <w:tc>
          <w:tcPr>
            <w:tcW w:type="dxa" w:w="2160"/>
          </w:tcPr>
          <w:p>
            <w:r>
              <w:rPr>
                <w:b/>
              </w:rPr>
              <w:t>Source Line</w:t>
            </w:r>
          </w:p>
        </w:tc>
      </w:tr>
      <w:tr>
        <w:tc>
          <w:tcPr>
            <w:tcW w:type="dxa" w:w="2160"/>
          </w:tcPr>
          <w:p>
            <w:r>
              <w:t>BAL</w:t>
            </w:r>
          </w:p>
        </w:tc>
        <w:tc>
          <w:tcPr>
            <w:tcW w:type="dxa" w:w="2160"/>
          </w:tcPr>
          <w:p>
            <w:r>
              <w:t>Alveolar Macrophage</w:t>
            </w:r>
          </w:p>
        </w:tc>
        <w:tc>
          <w:tcPr>
            <w:tcW w:type="dxa" w:w="2160"/>
          </w:tcPr>
          <w:p>
            <w:r>
              <w:t>77.6%</w:t>
            </w:r>
          </w:p>
        </w:tc>
        <w:tc>
          <w:tcPr>
            <w:tcW w:type="dxa" w:w="2160"/>
          </w:tcPr>
          <w:p>
            <w:r>
              <w:t>CSV Line 2</w:t>
            </w:r>
          </w:p>
        </w:tc>
      </w:tr>
      <w:tr>
        <w:tc>
          <w:tcPr>
            <w:tcW w:type="dxa" w:w="2160"/>
          </w:tcPr>
          <w:p>
            <w:r>
              <w:t>BAL</w:t>
            </w:r>
          </w:p>
        </w:tc>
        <w:tc>
          <w:tcPr>
            <w:tcW w:type="dxa" w:w="2160"/>
          </w:tcPr>
          <w:p>
            <w:r>
              <w:t>Interstitial Macrophage</w:t>
            </w:r>
          </w:p>
        </w:tc>
        <w:tc>
          <w:tcPr>
            <w:tcW w:type="dxa" w:w="2160"/>
          </w:tcPr>
          <w:p>
            <w:r>
              <w:t>77.6%</w:t>
            </w:r>
          </w:p>
        </w:tc>
        <w:tc>
          <w:tcPr>
            <w:tcW w:type="dxa" w:w="2160"/>
          </w:tcPr>
          <w:p>
            <w:r>
              <w:t>CSV Line 5</w:t>
            </w:r>
          </w:p>
        </w:tc>
      </w:tr>
      <w:tr>
        <w:tc>
          <w:tcPr>
            <w:tcW w:type="dxa" w:w="2160"/>
          </w:tcPr>
          <w:p>
            <w:r>
              <w:t>BAL</w:t>
            </w:r>
          </w:p>
        </w:tc>
        <w:tc>
          <w:tcPr>
            <w:tcW w:type="dxa" w:w="2160"/>
          </w:tcPr>
          <w:p>
            <w:r>
              <w:t>Dendritic Cell</w:t>
            </w:r>
          </w:p>
        </w:tc>
        <w:tc>
          <w:tcPr>
            <w:tcW w:type="dxa" w:w="2160"/>
          </w:tcPr>
          <w:p>
            <w:r>
              <w:t>81.2%</w:t>
            </w:r>
          </w:p>
        </w:tc>
        <w:tc>
          <w:tcPr>
            <w:tcW w:type="dxa" w:w="2160"/>
          </w:tcPr>
          <w:p>
            <w:r>
              <w:t>CSV Line 4</w:t>
            </w:r>
          </w:p>
        </w:tc>
      </w:tr>
      <w:tr>
        <w:tc>
          <w:tcPr>
            <w:tcW w:type="dxa" w:w="2160"/>
          </w:tcPr>
          <w:p>
            <w:r>
              <w:t>BAL</w:t>
            </w:r>
          </w:p>
        </w:tc>
        <w:tc>
          <w:tcPr>
            <w:tcW w:type="dxa" w:w="2160"/>
          </w:tcPr>
          <w:p>
            <w:r>
              <w:t>B cell</w:t>
            </w:r>
          </w:p>
        </w:tc>
        <w:tc>
          <w:tcPr>
            <w:tcW w:type="dxa" w:w="2160"/>
          </w:tcPr>
          <w:p>
            <w:r>
              <w:t>78.6%</w:t>
            </w:r>
          </w:p>
        </w:tc>
        <w:tc>
          <w:tcPr>
            <w:tcW w:type="dxa" w:w="2160"/>
          </w:tcPr>
          <w:p>
            <w:r>
              <w:t>CSV Line 3</w:t>
            </w:r>
          </w:p>
        </w:tc>
      </w:tr>
      <w:tr>
        <w:tc>
          <w:tcPr>
            <w:tcW w:type="dxa" w:w="2160"/>
          </w:tcPr>
          <w:p>
            <w:r>
              <w:t>PBMC</w:t>
            </w:r>
          </w:p>
        </w:tc>
        <w:tc>
          <w:tcPr>
            <w:tcW w:type="dxa" w:w="2160"/>
          </w:tcPr>
          <w:p>
            <w:r>
              <w:t>CD14+ Monocyte</w:t>
            </w:r>
          </w:p>
        </w:tc>
        <w:tc>
          <w:tcPr>
            <w:tcW w:type="dxa" w:w="2160"/>
          </w:tcPr>
          <w:p>
            <w:r>
              <w:t>84.3%</w:t>
            </w:r>
          </w:p>
        </w:tc>
        <w:tc>
          <w:tcPr>
            <w:tcW w:type="dxa" w:w="2160"/>
          </w:tcPr>
          <w:p>
            <w:r>
              <w:t>CSV Line 7</w:t>
            </w:r>
          </w:p>
        </w:tc>
      </w:tr>
      <w:tr>
        <w:tc>
          <w:tcPr>
            <w:tcW w:type="dxa" w:w="2160"/>
          </w:tcPr>
          <w:p>
            <w:r>
              <w:t>PBMC</w:t>
            </w:r>
          </w:p>
        </w:tc>
        <w:tc>
          <w:tcPr>
            <w:tcW w:type="dxa" w:w="2160"/>
          </w:tcPr>
          <w:p>
            <w:r>
              <w:t>NK cell</w:t>
            </w:r>
          </w:p>
        </w:tc>
        <w:tc>
          <w:tcPr>
            <w:tcW w:type="dxa" w:w="2160"/>
          </w:tcPr>
          <w:p>
            <w:r>
              <w:t>85.4%</w:t>
            </w:r>
          </w:p>
        </w:tc>
        <w:tc>
          <w:tcPr>
            <w:tcW w:type="dxa" w:w="2160"/>
          </w:tcPr>
          <w:p>
            <w:r>
              <w:t>CSV Line 8</w:t>
            </w:r>
          </w:p>
        </w:tc>
      </w:tr>
      <w:tr>
        <w:tc>
          <w:tcPr>
            <w:tcW w:type="dxa" w:w="2160"/>
          </w:tcPr>
          <w:p>
            <w:r>
              <w:t>PBMC</w:t>
            </w:r>
          </w:p>
        </w:tc>
        <w:tc>
          <w:tcPr>
            <w:tcW w:type="dxa" w:w="2160"/>
          </w:tcPr>
          <w:p>
            <w:r>
              <w:t>T cell</w:t>
            </w:r>
          </w:p>
        </w:tc>
        <w:tc>
          <w:tcPr>
            <w:tcW w:type="dxa" w:w="2160"/>
          </w:tcPr>
          <w:p>
            <w:r>
              <w:t>82.8%</w:t>
            </w:r>
          </w:p>
        </w:tc>
        <w:tc>
          <w:tcPr>
            <w:tcW w:type="dxa" w:w="2160"/>
          </w:tcPr>
          <w:p>
            <w:r>
              <w:t>CSV Line 9</w:t>
            </w:r>
          </w:p>
        </w:tc>
      </w:tr>
      <w:tr>
        <w:tc>
          <w:tcPr>
            <w:tcW w:type="dxa" w:w="2160"/>
          </w:tcPr>
          <w:p>
            <w:r>
              <w:t>PBMC</w:t>
            </w:r>
          </w:p>
        </w:tc>
        <w:tc>
          <w:tcPr>
            <w:tcW w:type="dxa" w:w="2160"/>
          </w:tcPr>
          <w:p>
            <w:r>
              <w:t>B cell</w:t>
            </w:r>
          </w:p>
        </w:tc>
        <w:tc>
          <w:tcPr>
            <w:tcW w:type="dxa" w:w="2160"/>
          </w:tcPr>
          <w:p>
            <w:r>
              <w:t>79.2%</w:t>
            </w:r>
          </w:p>
        </w:tc>
        <w:tc>
          <w:tcPr>
            <w:tcW w:type="dxa" w:w="2160"/>
          </w:tcPr>
          <w:p>
            <w:r>
              <w:t>CSV Line 11</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ID_Fig1_MultiPanel.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Compartmentalized chromatin programming in TB. (A) UMAP of integrated BAL/PBMC dataset colored by cell type. (B) PCA of ATAC-seq peaks showing tissue segregation. (C) CPI comparison by cell type and compartment.</w:t>
      </w:r>
    </w:p>
    <w:p>
      <w:pPr>
        <w:pStyle w:val="Heading2"/>
      </w:pPr>
      <w:r>
        <w:t>MMP Chromatin Accessibility in Lung Macrophages</w:t>
      </w:r>
    </w:p>
    <w:p>
      <w:r>
        <w:t>Given the established role of MMPs in TB pathology [3,4], we specifically examined chromatin accessibility at MMP gene loci. Alveolar macrophages showed elevated accessibility at MMP1 and MMP9 promoter regions compared to circulating monocytes (Figure 2). Importantly, this increased accessibility was observed despite relatively low baseline MMP expression, suggesting these genes are epigenetically 'primed' for rapid induction upon appropriate stimulation.</w:t>
      </w:r>
    </w:p>
    <w:p>
      <w:r>
        <w:t>Transcription factor motif analysis of accessible regions in BAL macrophages identified enrichment for AP-1 family members (FOS, JUN) and BATF [7], known regulators of macrophage activation and MMP expression. This pattern suggests that lung-resident macrophages maintain a chromatin state permissive for tissue-destructive gene programs.</w:t>
      </w:r>
    </w:p>
    <w:p>
      <w:pPr>
        <w:jc w:val="center"/>
      </w:pPr>
      <w:r>
        <w:rPr>
          <w:b/>
        </w:rPr>
        <w:t>Table 3. MMP-related findings and hypotheses generated from this re-analysis.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Gene</w:t>
            </w:r>
          </w:p>
        </w:tc>
        <w:tc>
          <w:tcPr>
            <w:tcW w:type="dxa" w:w="2160"/>
          </w:tcPr>
          <w:p>
            <w:r>
              <w:rPr>
                <w:b/>
              </w:rPr>
              <w:t>Observation</w:t>
            </w:r>
          </w:p>
        </w:tc>
        <w:tc>
          <w:tcPr>
            <w:tcW w:type="dxa" w:w="2160"/>
          </w:tcPr>
          <w:p>
            <w:r>
              <w:rPr>
                <w:b/>
              </w:rPr>
              <w:t>Literature Support</w:t>
            </w:r>
          </w:p>
        </w:tc>
        <w:tc>
          <w:tcPr>
            <w:tcW w:type="dxa" w:w="2160"/>
          </w:tcPr>
          <w:p>
            <w:r>
              <w:rPr>
                <w:b/>
              </w:rPr>
              <w:t>Hypothesis</w:t>
            </w:r>
          </w:p>
        </w:tc>
      </w:tr>
      <w:tr>
        <w:tc>
          <w:tcPr>
            <w:tcW w:type="dxa" w:w="2160"/>
          </w:tcPr>
          <w:p>
            <w:r>
              <w:t>MMP1</w:t>
            </w:r>
          </w:p>
        </w:tc>
        <w:tc>
          <w:tcPr>
            <w:tcW w:type="dxa" w:w="2160"/>
          </w:tcPr>
          <w:p>
            <w:r>
              <w:t>Elevated ATAC in BAL AM</w:t>
            </w:r>
          </w:p>
        </w:tc>
        <w:tc>
          <w:tcPr>
            <w:tcW w:type="dxa" w:w="2160"/>
          </w:tcPr>
          <w:p>
            <w:r>
              <w:t>Elkington 2011 [3]</w:t>
            </w:r>
          </w:p>
        </w:tc>
        <w:tc>
          <w:tcPr>
            <w:tcW w:type="dxa" w:w="2160"/>
          </w:tcPr>
          <w:p>
            <w:r>
              <w:t>Biomarker for cavitation risk</w:t>
            </w:r>
          </w:p>
        </w:tc>
      </w:tr>
      <w:tr>
        <w:tc>
          <w:tcPr>
            <w:tcW w:type="dxa" w:w="2160"/>
          </w:tcPr>
          <w:p>
            <w:r>
              <w:t>MMP9</w:t>
            </w:r>
          </w:p>
        </w:tc>
        <w:tc>
          <w:tcPr>
            <w:tcW w:type="dxa" w:w="2160"/>
          </w:tcPr>
          <w:p>
            <w:r>
              <w:t>Elevated ATAC in BAL AM</w:t>
            </w:r>
          </w:p>
        </w:tc>
        <w:tc>
          <w:tcPr>
            <w:tcW w:type="dxa" w:w="2160"/>
          </w:tcPr>
          <w:p>
            <w:r>
              <w:t>Ong 2015 [4]</w:t>
            </w:r>
          </w:p>
        </w:tc>
        <w:tc>
          <w:tcPr>
            <w:tcW w:type="dxa" w:w="2160"/>
          </w:tcPr>
          <w:p>
            <w:r>
              <w:t>Biomarker for tissue destruction</w:t>
            </w:r>
          </w:p>
        </w:tc>
      </w:tr>
      <w:tr>
        <w:tc>
          <w:tcPr>
            <w:tcW w:type="dxa" w:w="2160"/>
          </w:tcPr>
          <w:p>
            <w:r>
              <w:t>BATF</w:t>
            </w:r>
          </w:p>
        </w:tc>
        <w:tc>
          <w:tcPr>
            <w:tcW w:type="dxa" w:w="2160"/>
          </w:tcPr>
          <w:p>
            <w:r>
              <w:t>Enriched motif in BAL</w:t>
            </w:r>
          </w:p>
        </w:tc>
        <w:tc>
          <w:tcPr>
            <w:tcW w:type="dxa" w:w="2160"/>
          </w:tcPr>
          <w:p>
            <w:r>
              <w:t>Li 2012 [7]</w:t>
            </w:r>
          </w:p>
        </w:tc>
        <w:tc>
          <w:tcPr>
            <w:tcW w:type="dxa" w:w="2160"/>
          </w:tcPr>
          <w:p>
            <w:r>
              <w:t>Therapeutic target candidate</w:t>
            </w:r>
          </w:p>
        </w:tc>
      </w:tr>
    </w:tbl>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ID_Fig2_HONEST.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MMP chromatin accessibility analysis. (A) Gene Ontology enrichment of BAL-enriched accessible regions. (B) MMP1/MMP9 accessibility in BAL vs. PBMC. (C) Transcription factor motif enrichment.</w:t>
      </w:r>
    </w:p>
    <w:p>
      <w:pPr>
        <w:pStyle w:val="Heading2"/>
      </w:pPr>
      <w:r>
        <w:t>Hypothesis Generation: MMP Priming and Treatment Outcomes</w:t>
      </w:r>
    </w:p>
    <w:p>
      <w:r>
        <w:t>Our finding of elevated MMP chromatin accessibility in lung macrophages, combined with extensive literature linking MMP activity to cavitation and poor outcomes [3,4,8], suggests a testable hypothesis: patients with higher baseline MMP chromatin accessibility may be at increased risk for treatment failure. However, we emphasize that this hypothesis requires validation in prospective cohorts with treatment outcome data, which were not available in the public datasets analyzed here.</w:t>
      </w:r>
    </w:p>
    <w:p>
      <w:r>
        <w:t>If validated, MMP chromatin accessibility could serve as: (1) a prognostic biomarker for risk stratification at treatment initiation, and (2) a target for host-directed therapy using MMP inhibitors or chromatin-modifying agents.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ID_Fig3_HONEST.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3. Hypothesis generation framework. (A) Proposed mechanism linking MMP accessibility to outcomes (requires validation). (B) Compartment-specific chromatin summary. (C) Proposed validation study design.</w:t>
      </w:r>
    </w:p>
    <w:p>
      <w:pPr>
        <w:pStyle w:val="Heading1"/>
      </w:pPr>
      <w:r>
        <w:t>Discussion</w:t>
      </w:r>
    </w:p>
    <w:p>
      <w:r>
        <w:t>This study introduces the Chromatin Priming Index (CPI), a novel computational metric for quantifying epigenetic readiness in single-cell data. By re-analyzing published TB datasets, we demonstrate that lung alveolar macrophages have distinct chromatin landscapes from circulating monocytes, with notably elevated accessibility at tissue-destructive MMP gene loci.</w:t>
      </w:r>
    </w:p>
    <w:p>
      <w:r>
        <w:t>Our findings contribute to the field in three ways. First, CPI provides a standardized metric for comparing epigenetic states across cell types and disease conditions. Second, we identify compartment-specific chromatin programs that would be missed by blood-based profiling alone. Third, we generate a testable hypothesis linking MMP chromatin priming to clinical outcomes.</w:t>
      </w:r>
    </w:p>
    <w:p>
      <w:r>
        <w:t>We acknowledge important limitations. The primary limitation is the absence of treatment outcome data in the public datasets analyzed. Our MMP priming hypothesis is generated from cross-sectional data and requires prospective validation. Additionally, GSE167232 includes both TB and healthy control BAL, while GSE287288 is specific to disseminated TB. Integration of these heterogeneous datasets introduces potential batch effects, which we attempted to mitigate using Harmony.</w:t>
      </w:r>
    </w:p>
    <w:p>
      <w:r>
        <w:t>In conclusion, we introduce CPI as a computational tool for epigenetic analysis and identify MMP chromatin priming as a hypothesis-generating observation. Future prospective studies with treatment outcome data are essential to validate the prognostic utility of this signature.</w:t>
      </w:r>
    </w:p>
    <w:p>
      <w:pPr>
        <w:pStyle w:val="Heading1"/>
      </w:pPr>
      <w:r>
        <w:t>Declarations</w:t>
      </w:r>
    </w:p>
    <w:p>
      <w:r>
        <w:t>Funding: No specific funding was received for this computational re-analysis.</w:t>
      </w:r>
    </w:p>
    <w:p>
      <w:r>
        <w:t>Competing Interests: The author declares no competing interests.</w:t>
      </w:r>
    </w:p>
    <w:p>
      <w:r>
        <w:t>Data Availability: All source data are publicly available from GEO (GSE167232, GSE287288). Analysis code: https://github.com/hssling/CPI_MultiDisease_Extension</w:t>
      </w:r>
    </w:p>
    <w:p>
      <w:r>
        <w:t>Ethics Approval: This study is a secondary analysis of de-identified publicly available data and is exempt from IRB approval per institutional policy.</w:t>
      </w:r>
    </w:p>
    <w:p>
      <w:r>
        <w:t>Author Contributions: S.H.S. conceived the re-analysis, developed CPI methodology, performed computational analysis, and wrote the manuscript.</w:t>
      </w:r>
    </w:p>
    <w:p>
      <w:r>
        <w:t>Acknowledgements: We gratefully acknowledge Pisu et al. [5] and Gong et al. [6] for generating and publicly sharing the original datasets.</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Elkington PT, et al. MMP-1 drives immunopathology in human tuberculosis and transgenic mice. J Clin Invest. 2011;121:1827-1833.</w:t>
      </w:r>
    </w:p>
    <w:p>
      <w:r>
        <w:t>4. Ong CW, et al. Neutrophil-derived MMP-8 drives AMPK-dependent matrix destruction in human pulmonary tuberculosis. PLoS Pathog. 2015;11:e1004917.</w:t>
      </w:r>
    </w:p>
    <w:p>
      <w:r>
        <w:t>5. Pisu D, et al. Single cell analysis of M. tuberculosis phenotype and macrophage lineages in the infected lung. J Exp Med. 2021;218:e20210615. (GSE167232)</w:t>
      </w:r>
    </w:p>
    <w:p>
      <w:r>
        <w:t>6. Gong Z, et al. Single-cell sequencing unveils cellular characteristics in hematogenous disseminated tuberculosis. [Dataset] GEO Accession GSE287288; 2025.</w:t>
      </w:r>
    </w:p>
    <w:p>
      <w:r>
        <w:t>7. Li P, et al. BATF-JUN is critical for IRF4-mediated transcription in T cells. Nature. 2012;490:543-546.</w:t>
      </w:r>
    </w:p>
    <w:p>
      <w:r>
        <w:t>8. Berry MP, et al. An interferon-inducible neutrophil-driven blood transcriptional signature in human tuberculosis. Nature. 2010;466:973-977.</w:t>
      </w:r>
    </w:p>
    <w:p>
      <w:r>
        <w:t>9. Netea MG, et al. Trained immunity: a program of innate immune memory in health and disease. Science. 2016;352:aaf1098.</w:t>
      </w:r>
    </w:p>
    <w:p>
      <w:r>
        <w:t>10. Divangahi M, et al. Trained immunity, tolerance, priming and differentiation: distinct immunological processes. Nat Immunol. 2021;22:2-6.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