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w:t>
      </w:r>
      <w:r>
        <w:rPr>
          <w:vertAlign w:val="superscript"/>
        </w:rPr>
        <w:t>1,2</w:t>
      </w:r>
      <w:r>
        <w:t xml:space="preserve">.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w:t>
      </w:r>
      <w:r>
        <w:rPr>
          <w:vertAlign w:val="superscript"/>
        </w:rPr>
        <w:t>3</w:t>
      </w:r>
      <w:r>
        <w:t>.</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w:t>
      </w:r>
      <w:r>
        <w:rPr>
          <w:vertAlign w:val="superscript"/>
        </w:rPr>
        <w:t>4,5</w:t>
      </w:r>
      <w:r>
        <w:t>. A secondary objective was to develop a simplified "Field Risk Scorecard" for rapid deployment.</w:t>
      </w:r>
    </w:p>
    <w:p>
      <w:r/>
      <w:r>
        <w:rPr>
          <w:b/>
        </w:rPr>
        <w:t>Methods:</w:t>
      </w:r>
      <w:r>
        <w:t xml:space="preserve"> We constructed a multi-modal dataset covering 35 Indian states and union territories (2015-2025). The epidemiological component integrated National Vector Borne Disease Control Programme (NVBDCP) case reports with OpenDengue trend data </w:t>
      </w:r>
      <w:r>
        <w:rPr>
          <w:vertAlign w:val="superscript"/>
        </w:rPr>
        <w:t>6</w:t>
      </w:r>
      <w:r>
        <w:t xml:space="preserve">. Climatic drivers (temperature, precipitation) were expanded into monthly seasonal features to capture vector phenology. A novel contribution is the integration of structural vulnerability indicators—specifically the NITI Aayog Health Index (2019-20) </w:t>
      </w:r>
      <w:r>
        <w:rPr>
          <w:vertAlign w:val="superscript"/>
        </w:rPr>
        <w:t>7</w:t>
      </w:r>
      <w:r>
        <w:t xml:space="preserve">, State GDP per capita, and the State Energy &amp; Climate Index (SECI). We trained an </w:t>
      </w:r>
      <w:r>
        <w:rPr>
          <w:b/>
        </w:rPr>
        <w:t>Enhanced Gradient Boosting Regressor</w:t>
      </w:r>
      <w:r>
        <w:t xml:space="preserve"> </w:t>
      </w:r>
      <w:r>
        <w:rPr>
          <w:vertAlign w:val="superscript"/>
        </w:rPr>
        <w:t>8</w:t>
      </w:r>
      <w:r>
        <w:t xml:space="preserve"> for intensity prediction and a </w:t>
      </w:r>
      <w:r>
        <w:rPr>
          <w:b/>
        </w:rPr>
        <w:t>Gradient Boosting Classifier</w:t>
      </w:r>
      <w:r>
        <w:t xml:space="preserve"> for binary outbreak detection (&gt;75th percentile). Validation employed a rigorous 5-fold TimeSeriesSplit strategy.</w:t>
      </w:r>
    </w:p>
    <w:p>
      <w:r/>
      <w:r>
        <w:rPr>
          <w:b/>
        </w:rPr>
        <w:t>Results:</w:t>
      </w:r>
      <w:r>
        <w:t xml:space="preserve"> The enhanced regression model achieved a robust coefficient of determination ($R^2$)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for field use, which showed a moderate correlation ($r=0.53$) with the complex AI model, validating its utility as a screening tool.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w:t>
      </w:r>
      <w:r>
        <w:rPr>
          <w:i/>
        </w:rPr>
        <w:t>Nikshay</w:t>
      </w:r>
      <w:r>
        <w:t xml:space="preserve"> success story </w:t>
      </w:r>
      <w:r>
        <w:rPr>
          <w:vertAlign w:val="superscript"/>
        </w:rPr>
        <w:t>9</w:t>
      </w:r>
      <w:r>
        <w:t>.</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w:t>
      </w:r>
      <w:r>
        <w:rPr>
          <w:vertAlign w:val="superscript"/>
        </w:rPr>
        <w:t>2</w:t>
      </w:r>
      <w:r>
        <w:t xml:space="preserve">. India, with its tropical climate, high population density, and rapid unplanned urbanization, bears a disproportionate share of this burden. Bhatt et al. (2013) estimated that India contributes nearly 34% of the global dengue burden, a figure likely underestimated due to limitations in passive surveillance </w:t>
      </w:r>
      <w:r>
        <w:rPr>
          <w:vertAlign w:val="superscript"/>
        </w:rPr>
        <w:t>1</w:t>
      </w:r>
      <w:r>
        <w:t xml:space="preserve">. The economic cost is staggering, costing India billions in healthcare expenditure and lost productivity annually </w:t>
      </w:r>
      <w:r>
        <w:rPr>
          <w:vertAlign w:val="superscript"/>
        </w:rPr>
        <w:t>10</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3</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11</w:t>
      </w:r>
      <w:r>
        <w:t>.</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12</w:t>
      </w:r>
      <w:r>
        <w:t xml:space="preserve">. However, climate-driven models often fail to account for the "human factor."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may experience a larger </w:t>
      </w:r>
      <w:r>
        <w:rPr>
          <w:i/>
        </w:rPr>
        <w:t>detected</w:t>
      </w:r>
      <w:r>
        <w:t xml:space="preserve"> outbreak for the same vector density due to poorer containment.</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Therefore, this study adopts a dual approach: Regression for resource planning and Binary Classification (AUC-ROC) for triggering emergency protocols </w:t>
      </w:r>
      <w:r>
        <w:rPr>
          <w:vertAlign w:val="superscript"/>
        </w:rPr>
        <w:t>13</w:t>
      </w:r>
      <w:r>
        <w:t>.</w:t>
      </w:r>
    </w:p>
    <w:p>
      <w:pPr>
        <w:pStyle w:val="Heading1"/>
      </w:pPr>
      <w:r>
        <w:t>2. Methods</w:t>
      </w:r>
    </w:p>
    <w:p>
      <w:pPr>
        <w:pStyle w:val="Heading2"/>
      </w:pPr>
      <w:r>
        <w:t>2.1 Study Design and Data Sources</w:t>
      </w:r>
    </w:p>
    <w:p>
      <w:r>
        <w:t>This retrospective ecological study analyzed state-level monthly aggregate data from 35 states/UTs in India (2015-2025). The unit of analysis is the "State-Month."</w:t>
      </w:r>
    </w:p>
    <w:p>
      <w:pPr>
        <w:pStyle w:val="Heading3"/>
      </w:pPr>
      <w:r>
        <w:t>2.1.1 Data Integration</w:t>
      </w:r>
    </w:p>
    <w:p>
      <w:pPr>
        <w:pStyle w:val="ListNumber"/>
      </w:pPr>
      <w:r>
        <w:t xml:space="preserve"> </w:t>
      </w:r>
      <w:r>
        <w:rPr>
          <w:b/>
        </w:rPr>
        <w:t>Epidemiological:</w:t>
      </w:r>
      <w:r>
        <w:t xml:space="preserve"> Monthly case counts from NVBDCP reports (2021-2025) </w:t>
      </w:r>
      <w:r>
        <w:rPr>
          <w:vertAlign w:val="superscript"/>
        </w:rPr>
        <w:t>3</w:t>
      </w:r>
      <w:r>
        <w:t xml:space="preserve"> and OpenDengue trends </w:t>
      </w:r>
      <w:r>
        <w:rPr>
          <w:vertAlign w:val="superscript"/>
        </w:rPr>
        <w:t>6</w:t>
      </w:r>
      <w:r>
        <w:t>. Data log-transformed ($log(x+1)$) to stabilize variance.</w:t>
      </w:r>
    </w:p>
    <w:p>
      <w:pPr>
        <w:pStyle w:val="ListNumber"/>
      </w:pPr>
      <w:r>
        <w:t xml:space="preserve"> </w:t>
      </w:r>
      <w:r>
        <w:rPr>
          <w:b/>
        </w:rPr>
        <w:t>Climatic:</w:t>
      </w:r>
      <w:r>
        <w:t xml:space="preserve"> Annual mean temperature and precipitation (IMD) expanded into monthly seasonal features using regional phenology weights.</w:t>
      </w:r>
    </w:p>
    <w:p>
      <w:pPr>
        <w:pStyle w:val="ListNumber"/>
      </w:pPr>
      <w:r>
        <w:t xml:space="preserve"> </w:t>
      </w:r>
      <w:r>
        <w:rPr>
          <w:b/>
        </w:rPr>
        <w:t>Socio-Economic:</w:t>
      </w:r>
      <w:r>
        <w:t xml:space="preserve"> NITI Aayog Health Index (2019-20) </w:t>
      </w:r>
      <w:r>
        <w:rPr>
          <w:vertAlign w:val="superscript"/>
        </w:rPr>
        <w:t>7</w:t>
      </w:r>
      <w:r>
        <w:t>, GDP Per Capita, and SECI scores were merged to capture state capacity.</w:t>
      </w:r>
    </w:p>
    <w:p>
      <w:pPr>
        <w:pStyle w:val="Heading2"/>
      </w:pPr>
      <w:r>
        <w:t>2.2 Feature Engineering</w:t>
      </w:r>
    </w:p>
    <w:p>
      <w:r>
        <w:t>We generated a rich feature set to capture temporal dynamics:</w:t>
      </w:r>
    </w:p>
    <w:p>
      <w:pPr>
        <w:pStyle w:val="ListBullet"/>
      </w:pPr>
      <w:r>
        <w:t xml:space="preserve">  </w:t>
      </w:r>
      <w:r>
        <w:rPr>
          <w:b/>
        </w:rPr>
        <w:t>Autoregressive Terms:</w:t>
      </w:r>
      <w:r>
        <w:t xml:space="preserve"> $Cases_{t-1}, Cases_{t-2}$ and 3-month rolling averages ($RollingMean_3$). These capture the "momentum" of an outbreak </w:t>
      </w:r>
      <w:r>
        <w:rPr>
          <w:vertAlign w:val="superscript"/>
        </w:rPr>
        <w:t>14</w:t>
      </w:r>
      <w:r>
        <w:t>.</w:t>
      </w:r>
    </w:p>
    <w:p>
      <w:pPr>
        <w:pStyle w:val="ListBullet"/>
      </w:pPr>
      <w:r>
        <w:t xml:space="preserve">  </w:t>
      </w:r>
      <w:r>
        <w:rPr>
          <w:b/>
        </w:rPr>
        <w:t>Cyclical Encoding:</w:t>
      </w:r>
      <w:r>
        <w:t xml:space="preserve"> $Month_{sin} = \sin(2\pi \frac{m}{12})$ to preserve seasonality.</w:t>
      </w:r>
    </w:p>
    <w:p>
      <w:pPr>
        <w:pStyle w:val="ListBullet"/>
      </w:pPr>
      <w:r>
        <w:t xml:space="preserve">  </w:t>
      </w:r>
      <w:r>
        <w:rPr>
          <w:b/>
        </w:rPr>
        <w:t>Interaction Terms:</w:t>
      </w:r>
      <w:r>
        <w:t xml:space="preserve"> $Rain \times Temp$ to capture synergistic effects.</w:t>
      </w:r>
    </w:p>
    <w:p>
      <w:pPr>
        <w:pStyle w:val="Heading2"/>
      </w:pPr>
      <w:r>
        <w:t>2.3 Machine Learning Algorithms</w:t>
      </w:r>
    </w:p>
    <w:p>
      <w:r>
        <w:t>We trained two ensemble tree-based models using the Scikit-Learn framework:</w:t>
      </w:r>
    </w:p>
    <w:p>
      <w:pPr>
        <w:pStyle w:val="ListNumber"/>
      </w:pPr>
      <w:r>
        <w:t xml:space="preserve"> </w:t>
      </w:r>
      <w:r>
        <w:rPr>
          <w:b/>
        </w:rPr>
        <w:t>Gradient Boosting Regressor:</w:t>
      </w:r>
      <w:r>
        <w:t xml:space="preserve"> For predicting exact case counts. This method builds additive models in a forward stage-wise fashion </w:t>
      </w:r>
      <w:r>
        <w:rPr>
          <w:vertAlign w:val="superscript"/>
        </w:rPr>
        <w:t>8</w:t>
      </w:r>
      <w:r>
        <w:t>.</w:t>
      </w:r>
    </w:p>
    <w:p>
      <w:pPr>
        <w:pStyle w:val="ListNumber"/>
      </w:pPr>
      <w:r>
        <w:t xml:space="preserve"> </w:t>
      </w:r>
      <w:r>
        <w:rPr>
          <w:b/>
        </w:rPr>
        <w:t>Gradient Boosting Classifier:</w:t>
      </w:r>
      <w:r>
        <w:t xml:space="preserve"> For binary outbreak detection (&gt;75th percentile threshold).</w:t>
      </w:r>
    </w:p>
    <w:p>
      <w:pPr>
        <w:pStyle w:val="Heading2"/>
      </w:pPr>
      <w:r>
        <w:t>2.4 Validation Strategy</w:t>
      </w:r>
    </w:p>
    <w:p>
      <w:r>
        <w:t xml:space="preserve">To prevent temporal data leakage—a common pitfall where models learn from "future" data—we employed </w:t>
      </w:r>
      <w:r>
        <w:rPr>
          <w:b/>
        </w:rPr>
        <w:t>5-fold TimeSeriesSplit</w:t>
      </w:r>
      <w:r>
        <w:t>. In each fold $k$, the model was trained on the first $k$ time segments and tested on the subsequent segment.</w:t>
      </w:r>
    </w:p>
    <w:p>
      <w:pPr>
        <w:pStyle w:val="Heading1"/>
      </w:pPr>
      <w:r>
        <w:t>3. Results</w:t>
      </w:r>
    </w:p>
    <w:p>
      <w:pPr>
        <w:pStyle w:val="Heading2"/>
      </w:pPr>
      <w:r>
        <w:t>3.1 Model Performance (Regression &amp; Classification)</w:t>
      </w:r>
    </w:p>
    <w:p>
      <w:r>
        <w:t xml:space="preserve">The enhanced Gradient Boosting model achieved an $R^2$ of </w:t>
      </w:r>
      <w:r>
        <w:rPr>
          <w:b/>
        </w:rPr>
        <w:t>0.888</w:t>
      </w:r>
      <w:r>
        <w:t xml:space="preserve"> and an RMSE of </w:t>
      </w:r>
      <w:r>
        <w:rPr>
          <w:b/>
        </w:rPr>
        <w:t>311.5 cases</w:t>
      </w:r>
      <w:r>
        <w:t xml:space="preserve">. The binary classifier demonstrated exceptional performance with an </w:t>
      </w:r>
      <w:r>
        <w:rPr>
          <w:b/>
        </w:rPr>
        <w:t>AUC-ROC of 0.990</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**R² Score**</w:t>
            </w:r>
          </w:p>
        </w:tc>
        <w:tc>
          <w:tcPr>
            <w:tcW w:type="dxa" w:w="2880"/>
          </w:tcPr>
          <w:p>
            <w:r>
              <w:t>0.888</w:t>
            </w:r>
          </w:p>
        </w:tc>
        <w:tc>
          <w:tcPr>
            <w:tcW w:type="dxa" w:w="2880"/>
          </w:tcPr>
          <w:p>
            <w:r>
              <w:t>Explains 89% of case variance</w:t>
            </w:r>
          </w:p>
        </w:tc>
      </w:tr>
      <w:tr>
        <w:tc>
          <w:tcPr>
            <w:tcW w:type="dxa" w:w="2880"/>
          </w:tcPr>
          <w:p>
            <w:r>
              <w:t>**RMSE**</w:t>
            </w:r>
          </w:p>
        </w:tc>
        <w:tc>
          <w:tcPr>
            <w:tcW w:type="dxa" w:w="2880"/>
          </w:tcPr>
          <w:p>
            <w:r>
              <w:t>311.5</w:t>
            </w:r>
          </w:p>
        </w:tc>
        <w:tc>
          <w:tcPr>
            <w:tcW w:type="dxa" w:w="2880"/>
          </w:tcPr>
          <w:p>
            <w:r>
              <w:t>Average error in case prediction</w:t>
            </w:r>
          </w:p>
        </w:tc>
      </w:tr>
      <w:tr>
        <w:tc>
          <w:tcPr>
            <w:tcW w:type="dxa" w:w="2880"/>
          </w:tcPr>
          <w:p>
            <w:r>
              <w:t>**AUC-ROC**</w:t>
            </w:r>
          </w:p>
        </w:tc>
        <w:tc>
          <w:tcPr>
            <w:tcW w:type="dxa" w:w="2880"/>
          </w:tcPr>
          <w:p>
            <w:r>
              <w:t>0.990</w:t>
            </w:r>
          </w:p>
        </w:tc>
        <w:tc>
          <w:tcPr>
            <w:tcW w:type="dxa" w:w="2880"/>
          </w:tcPr>
          <w:p>
            <w:r>
              <w:t>Near-perfect outbreak detection</w:t>
            </w:r>
          </w:p>
        </w:tc>
      </w:tr>
      <w:tr>
        <w:tc>
          <w:tcPr>
            <w:tcW w:type="dxa" w:w="2880"/>
          </w:tcPr>
          <w:p>
            <w:r>
              <w:t>**Sensitivity**</w:t>
            </w:r>
          </w:p>
        </w:tc>
        <w:tc>
          <w:tcPr>
            <w:tcW w:type="dxa" w:w="2880"/>
          </w:tcPr>
          <w:p>
            <w:r>
              <w:t>98.5%</w:t>
            </w:r>
          </w:p>
        </w:tc>
        <w:tc>
          <w:tcPr>
            <w:tcW w:type="dxa" w:w="2880"/>
          </w:tcPr>
          <w:p>
            <w:r>
              <w:t>Rarely misses a true outbreak</w:t>
            </w:r>
          </w:p>
        </w:tc>
      </w:tr>
    </w:tbl>
    <w:p/>
    <w:p>
      <w:r/>
      <w:r>
        <w:rPr>
          <w:i/>
        </w:rPr>
        <w:t>Table 1: Detailed Model Performance Metrics across 5-fold Cross Validation.</w:t>
      </w:r>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high AUC (0.99) demonstrates the model's reliability, though this is partly driven by the strong seasonal signal in the training data.</w:t>
      </w:r>
      <w:r/>
    </w:p>
    <w:p>
      <w:pPr>
        <w:pStyle w:val="Heading2"/>
      </w:pPr>
      <w:r>
        <w:t>3.2 Drivers of Transmission</w:t>
      </w:r>
    </w:p>
    <w:p>
      <w:r>
        <w:t xml:space="preserve">Feature analysis (Figure 2) revealed that </w:t>
      </w:r>
      <w:r>
        <w:rPr>
          <w:b/>
        </w:rPr>
        <w:t>Seasonality (55%)</w:t>
      </w:r>
      <w:r>
        <w:t xml:space="preserve"> and </w:t>
      </w:r>
      <w:r>
        <w:rPr>
          <w:b/>
        </w:rPr>
        <w:t>Lagged Climate (25%)</w:t>
      </w:r>
      <w:r>
        <w:t xml:space="preserve"> are the primary drivers, but </w:t>
      </w:r>
      <w:r>
        <w:rPr>
          <w:b/>
        </w:rPr>
        <w:t>Vulnerability (20%)</w:t>
      </w:r>
      <w:r>
        <w:t xml:space="preserve"> plays a crucial role in amplifying risk.</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Note the prominence of lagged rainfall and health index.</w:t>
      </w:r>
      <w:r/>
    </w:p>
    <w:p>
      <w:pPr>
        <w:pStyle w:val="Heading2"/>
      </w:pPr>
      <w:r>
        <w:t>3.3 State Risk Assessment</w:t>
      </w:r>
    </w:p>
    <w:p>
      <w:r>
        <w:t>We identified high-risk states based on the composite score (Forecast + Vulnerability).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Risk Category</w:t>
            </w:r>
          </w:p>
        </w:tc>
        <w:tc>
          <w:tcPr>
            <w:tcW w:type="dxa" w:w="2880"/>
          </w:tcPr>
          <w:p>
            <w:r>
              <w:rPr>
                <w:b/>
              </w:rPr>
              <w:t>Key Driver</w:t>
            </w:r>
          </w:p>
        </w:tc>
      </w:tr>
      <w:tr>
        <w:tc>
          <w:tcPr>
            <w:tcW w:type="dxa" w:w="2880"/>
          </w:tcPr>
          <w:p>
            <w:r>
              <w:t>**Tamil Nadu**</w:t>
            </w:r>
          </w:p>
        </w:tc>
        <w:tc>
          <w:tcPr>
            <w:tcW w:type="dxa" w:w="2880"/>
          </w:tcPr>
          <w:p>
            <w:r>
              <w:t>High</w:t>
            </w:r>
          </w:p>
        </w:tc>
        <w:tc>
          <w:tcPr>
            <w:tcW w:type="dxa" w:w="2880"/>
          </w:tcPr>
          <w:p>
            <w:r>
              <w:t>Cyclonic Rainfall</w:t>
            </w:r>
          </w:p>
        </w:tc>
      </w:tr>
      <w:tr>
        <w:tc>
          <w:tcPr>
            <w:tcW w:type="dxa" w:w="2880"/>
          </w:tcPr>
          <w:p>
            <w:r>
              <w:t>**Telangana**</w:t>
            </w:r>
          </w:p>
        </w:tc>
        <w:tc>
          <w:tcPr>
            <w:tcW w:type="dxa" w:w="2880"/>
          </w:tcPr>
          <w:p>
            <w:r>
              <w:t>High</w:t>
            </w:r>
          </w:p>
        </w:tc>
        <w:tc>
          <w:tcPr>
            <w:tcW w:type="dxa" w:w="2880"/>
          </w:tcPr>
          <w:p>
            <w:r>
              <w:t>Urban Density</w:t>
            </w:r>
          </w:p>
        </w:tc>
      </w:tr>
      <w:tr>
        <w:tc>
          <w:tcPr>
            <w:tcW w:type="dxa" w:w="2880"/>
          </w:tcPr>
          <w:p>
            <w:r>
              <w:t>**Maharashtra**</w:t>
            </w:r>
          </w:p>
        </w:tc>
        <w:tc>
          <w:tcPr>
            <w:tcW w:type="dxa" w:w="2880"/>
          </w:tcPr>
          <w:p>
            <w:r>
              <w:t>High</w:t>
            </w:r>
          </w:p>
        </w:tc>
        <w:tc>
          <w:tcPr>
            <w:tcW w:type="dxa" w:w="2880"/>
          </w:tcPr>
          <w:p>
            <w:r>
              <w:t>Seasonal Consistency</w:t>
            </w:r>
          </w:p>
        </w:tc>
      </w:tr>
      <w:tr>
        <w:tc>
          <w:tcPr>
            <w:tcW w:type="dxa" w:w="2880"/>
          </w:tcPr>
          <w:p>
            <w:r>
              <w:t>**Uttar Pradesh**</w:t>
            </w:r>
          </w:p>
        </w:tc>
        <w:tc>
          <w:tcPr>
            <w:tcW w:type="dxa" w:w="2880"/>
          </w:tcPr>
          <w:p>
            <w:r>
              <w:t>Moderate</w:t>
            </w:r>
          </w:p>
        </w:tc>
        <w:tc>
          <w:tcPr>
            <w:tcW w:type="dxa" w:w="2880"/>
          </w:tcPr>
          <w:p>
            <w:r>
              <w:t>High Vulnerability (Low Health Index)</w:t>
            </w:r>
          </w:p>
        </w:tc>
      </w:tr>
      <w:tr>
        <w:tc>
          <w:tcPr>
            <w:tcW w:type="dxa" w:w="2880"/>
          </w:tcPr>
          <w:p>
            <w:r>
              <w:t>**Bihar**</w:t>
            </w:r>
          </w:p>
        </w:tc>
        <w:tc>
          <w:tcPr>
            <w:tcW w:type="dxa" w:w="2880"/>
          </w:tcPr>
          <w:p>
            <w:r>
              <w:t>Moderate</w:t>
            </w:r>
          </w:p>
        </w:tc>
        <w:tc>
          <w:tcPr>
            <w:tcW w:type="dxa" w:w="2880"/>
          </w:tcPr>
          <w:p>
            <w:r>
              <w:t>High Vulnerability</w:t>
            </w:r>
          </w:p>
        </w:tc>
      </w:tr>
    </w:tbl>
    <w:p/>
    <w:p>
      <w:r/>
      <w:r>
        <w:rPr>
          <w:i/>
        </w:rPr>
        <w:t>Table 2: Top High-Risk States identified for immediate intervention.</w:t>
      </w:r>
      <w:r/>
    </w:p>
    <w:p>
      <w:r>
        <w:t>We generated a state-wise risk map (Figure 3) for the upcoming season.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map highlights high-risk zones (Red) in South and East India where climatic suitability converges with vulnerability.</w:t>
      </w:r>
      <w:r/>
    </w:p>
    <w:p>
      <w:r>
        <w:t xml:space="preserve">High-Risk States include </w:t>
      </w:r>
      <w:r>
        <w:rPr>
          <w:b/>
        </w:rPr>
        <w:t>Tamil Nadu, Telangana, and Maharashtra</w:t>
      </w:r>
      <w:r>
        <w:t>, necessitating immediate preparatory action. As shown in Figure 4, the model predictions correlate strongly with the risk score.</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validate the hypothesis that dengue risk is a product of </w:t>
      </w:r>
      <w:r>
        <w:rPr>
          <w:b/>
        </w:rPr>
        <w:t>Exposure</w:t>
      </w:r>
      <w:r>
        <w:t xml:space="preserve"> (Vector + Climate) and </w:t>
      </w:r>
      <w:r>
        <w:rPr>
          <w:b/>
        </w:rPr>
        <w:t>Vulnerability</w:t>
      </w:r>
      <w:r>
        <w:t xml:space="preserve"> (Health System Capacity). States with lower Health Index scores consistently showed higher risk scores for equal climatic pressure. This suggests that health system capacity is a key determinant of outbreak magnitude.</w:t>
      </w:r>
    </w:p>
    <w:p>
      <w:pPr>
        <w:pStyle w:val="Heading2"/>
      </w:pPr>
      <w:r>
        <w:t>4.2 Sensitivity Analysis: The "perfect" AUC</w:t>
      </w:r>
    </w:p>
    <w:p>
      <w:r>
        <w:t xml:space="preserve">The extremely high AUC (0.99) warrants cautious interpretation. While it indicates excellent discrimination, it is partly an artifact of the strong, predictable seasonality of dengue in India (Post-monsoon peaks). The model effectively learned that "October is High Risk." In a non-seasonal outbreak (e.g., due to unseasonal rain), precision might drop. Therefore, we emphasize the </w:t>
      </w:r>
      <w:r>
        <w:rPr>
          <w:i/>
        </w:rPr>
        <w:t>Regression</w:t>
      </w:r>
      <w:r>
        <w:t xml:space="preserve"> output (Case Counts) for planning over the binary flag.</w:t>
      </w:r>
    </w:p>
    <w:p>
      <w:pPr>
        <w:pStyle w:val="Heading2"/>
      </w:pPr>
      <w:r>
        <w:t>4.3 Practical Tool: The Field Scorecard</w:t>
      </w:r>
    </w:p>
    <w:p>
      <w:r>
        <w:t>To bridge the gap between AI and the field, we extracted the model's key drivers into a simple paper-based tool (Box 1).</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 Validation showed a correlation of r=0.53 with the AI model.</w:t>
      </w:r>
      <w:r/>
    </w:p>
    <w:p>
      <w:pPr>
        <w:pStyle w:val="Heading2"/>
      </w:pPr>
      <w:r>
        <w:t>4.4 Operational Recommendations: A "Nikshay" for Vector Borne Diseases</w:t>
      </w:r>
    </w:p>
    <w:p>
      <w:r>
        <w:t xml:space="preserve">India successfully eliminated much of the TB reporting gap using the </w:t>
      </w:r>
      <w:r>
        <w:rPr>
          <w:b/>
        </w:rPr>
        <w:t>Nikshay</w:t>
      </w:r>
      <w:r>
        <w:t xml:space="preserve"> platform </w:t>
      </w:r>
      <w:r>
        <w:rPr>
          <w:vertAlign w:val="superscript"/>
        </w:rPr>
        <w:t>9</w:t>
      </w:r>
      <w:r>
        <w:t>. We propose a similar digital backbone for dengue, integrating:</w:t>
      </w:r>
    </w:p>
    <w:p>
      <w:pPr>
        <w:pStyle w:val="ListNumber"/>
      </w:pPr>
      <w:r>
        <w:t xml:space="preserve"> </w:t>
      </w:r>
      <w:r>
        <w:rPr>
          <w:b/>
        </w:rPr>
        <w:t>Real-time Lab Feeds:</w:t>
      </w:r>
      <w:r>
        <w:t xml:space="preserve"> To replace monthly aggregates.</w:t>
      </w:r>
    </w:p>
    <w:p>
      <w:pPr>
        <w:pStyle w:val="ListNumber"/>
      </w:pPr>
      <w:r>
        <w:t xml:space="preserve"> </w:t>
      </w:r>
      <w:r>
        <w:rPr>
          <w:b/>
        </w:rPr>
        <w:t>Predictive API:</w:t>
      </w:r>
      <w:r>
        <w:t xml:space="preserve"> Embedding our Gradient Boosting model to flag district-level anomalies.</w:t>
      </w:r>
    </w:p>
    <w:p>
      <w:pPr>
        <w:pStyle w:val="ListNumber"/>
      </w:pPr>
      <w:r>
        <w:t xml:space="preserve"> </w:t>
      </w:r>
      <w:r>
        <w:rPr>
          <w:b/>
        </w:rPr>
        <w:t>Vulnerability Mapping:</w:t>
      </w:r>
      <w:r>
        <w:t xml:space="preserve"> Using the Risk Map to allocate limited vector-control budgets.</w:t>
      </w:r>
    </w:p>
    <w:p>
      <w:pPr>
        <w:pStyle w:val="Heading1"/>
      </w:pPr>
      <w:r>
        <w:t>5. Conclusions</w:t>
      </w:r>
    </w:p>
    <w:p>
      <w:r>
        <w:t>We have developed a comprehensive framework that spans from high-end AI forecasting ($R^2=0.888$) to rudimentary field tools ($r=0.53$). By addressing both the biological drivers and the systemic vulnerabilities, India can move towards a "Precision Public Health" approach to dengue control.</w:t>
      </w:r>
    </w:p>
    <w:p>
      <w:pPr>
        <w:pStyle w:val="Heading1"/>
      </w:pPr>
      <w:r>
        <w:t>6. References</w:t>
      </w:r>
    </w:p>
    <w:p>
      <w:pPr>
        <w:pStyle w:val="ListNumber"/>
      </w:pPr>
      <w:r>
        <w:t xml:space="preserve">Bhatt S, Gething PW, Brady OJ, et al. The global distribution and burden of dengue. </w:t>
      </w:r>
      <w:r>
        <w:rPr>
          <w:i/>
        </w:rPr>
        <w:t>Nature</w:t>
      </w:r>
      <w:r>
        <w:t>. 2013;496(7446):504-507.</w:t>
      </w:r>
    </w:p>
    <w:p>
      <w:pPr>
        <w:pStyle w:val="ListNumber"/>
      </w:pPr>
      <w:r>
        <w:t xml:space="preserve">World Health Organization. </w:t>
      </w:r>
      <w:r>
        <w:rPr>
          <w:i/>
        </w:rPr>
        <w:t>Dengue: Guidelines for Diagnosis, Treatment, Prevention and Control</w:t>
      </w:r>
      <w:r>
        <w:t>. Geneva: WHO; 2009.</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Mutheneni SR, et al. Dengue burden in India: recent trends and importance of climatic parameters. </w:t>
      </w:r>
      <w:r>
        <w:rPr>
          <w:i/>
        </w:rPr>
        <w:t>Emerg Microbes Infect</w:t>
      </w:r>
      <w:r>
        <w:t>. 2017;6(8):e70.</w:t>
      </w:r>
    </w:p>
    <w:p>
      <w:pPr>
        <w:pStyle w:val="ListNumber"/>
      </w:pPr>
      <w:r>
        <w:t xml:space="preserve">Salim NA, WahYB, Reeves C, et al. Prediction of dengue outbreak in Selangor Malaysia using machine learning techniques. </w:t>
      </w:r>
      <w:r>
        <w:rPr>
          <w:i/>
        </w:rPr>
        <w:t>Sci Rep</w:t>
      </w:r>
      <w:r>
        <w:t>. 2021;11(1):939.</w:t>
      </w:r>
    </w:p>
    <w:p>
      <w:pPr>
        <w:pStyle w:val="ListNumber"/>
      </w:pPr>
      <w:r>
        <w:t>OpenDengue: Global Dengue Data Repository [Internet]. Available from: https://opendengue.org. Accessed 2025 Jan 05.</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Friedman JH. Greedy function approximation: A gradient boosting machine. </w:t>
      </w:r>
      <w:r>
        <w:rPr>
          <w:i/>
        </w:rPr>
        <w:t>Ann Stat</w:t>
      </w:r>
      <w:r>
        <w:t>. 2001;29(5):1189-1232.</w:t>
      </w:r>
    </w:p>
    <w:p>
      <w:pPr>
        <w:pStyle w:val="ListNumber"/>
      </w:pPr>
      <w:r>
        <w:t xml:space="preserve">Sachdeva KS, et al. The Nikshay ecosystem: A digital innovation for TB elimination in India. </w:t>
      </w:r>
      <w:r>
        <w:rPr>
          <w:i/>
        </w:rPr>
        <w:t>Indian J Tuberc</w:t>
      </w:r>
      <w:r>
        <w:t>. 2019;66(4):443-446.</w:t>
      </w:r>
    </w:p>
    <w:p>
      <w:r>
        <w:t xml:space="preserve">10. Shepard DS, Halasa YA, Tyagi BK, et al. Economic burden of dengue illness in India, 2013–2016. </w:t>
      </w:r>
      <w:r>
        <w:rPr>
          <w:i/>
        </w:rPr>
        <w:t>Am J Trop Med Hyg</w:t>
      </w:r>
      <w:r>
        <w:t>. 2014;91(6):1235-1242.</w:t>
      </w:r>
    </w:p>
    <w:p>
      <w:r>
        <w:t xml:space="preserve">11. Lowe R, Stewart-Ibarra AM, Petrova D, et al. Climate services for health: predicting the evolution of the 2016 dengue season in Machala, Ecuador. </w:t>
      </w:r>
      <w:r>
        <w:rPr>
          <w:i/>
        </w:rPr>
        <w:t>Lancet Planet Health</w:t>
      </w:r>
      <w:r>
        <w:t>. 2017;1(4):e142-e151.</w:t>
      </w:r>
    </w:p>
    <w:p>
      <w:r>
        <w:t xml:space="preserve">12. Tjaden NB, et al. Extrinsic incubation period of dengue virus as a function of temperature. </w:t>
      </w:r>
      <w:r>
        <w:rPr>
          <w:i/>
        </w:rPr>
        <w:t>PLOS Negl Trop Dis</w:t>
      </w:r>
      <w:r>
        <w:t>. 2013;7(5):e2207.</w:t>
      </w:r>
    </w:p>
    <w:p>
      <w:r>
        <w:t xml:space="preserve">13. Messina JP, et al. The current and future global distribution and population at risk of dengue. </w:t>
      </w:r>
      <w:r>
        <w:rPr>
          <w:i/>
        </w:rPr>
        <w:t>Nat Microbiol</w:t>
      </w:r>
      <w:r>
        <w:t>. 2019;4:1508–1515.</w:t>
      </w:r>
    </w:p>
    <w:p>
      <w:r>
        <w:t xml:space="preserve">14. Wesolowski A, et al. Impact of human mobility on the emergence of dengue epidemics in Pakistan. </w:t>
      </w:r>
      <w:r>
        <w:rPr>
          <w:i/>
        </w:rPr>
        <w:t>Proc Natl Acad Sci USA</w:t>
      </w:r>
      <w:r>
        <w:t>. 2015;112(38):11887-11892.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