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Multi-Modal Machine Learning Framework for State-Level Dengue Outbreak Prediction in India</w:t>
      </w:r>
    </w:p>
    <w:p>
      <w:pPr>
        <w:pStyle w:val="BodyText"/>
      </w:pPr>
      <w:r>
        <w:t xml:space="preserve">This supplement documents the data sources, full predictor set, validation detail and sensitivity analyses underpinning the main text. Every item is regenerable from the released pipeline (</w:t>
      </w:r>
      <w:r>
        <w:rPr>
          <w:rStyle w:val="VerbatimChar"/>
        </w:rPr>
        <w:t xml:space="preserve">src/11_rigorous_pipeline.py</w:t>
      </w:r>
      <w:r>
        <w:t xml:space="preserve">).</w:t>
      </w:r>
    </w:p>
    <w:bookmarkStart w:id="9" w:name="s1.-study-panel"/>
    <w:p>
      <w:pPr>
        <w:pStyle w:val="Heading2"/>
      </w:pPr>
      <w:r>
        <w:t xml:space="preserve">S1. Study panel</w:t>
      </w:r>
    </w:p>
    <w:p>
      <w:pPr>
        <w:pStyle w:val="Compact"/>
        <w:numPr>
          <w:ilvl w:val="0"/>
          <w:numId w:val="1001"/>
        </w:numPr>
      </w:pPr>
      <w:r>
        <w:t xml:space="preserve">Unit of analysis: state-month. Panel:</w:t>
      </w:r>
      <w:r>
        <w:t xml:space="preserve"> </w:t>
      </w:r>
      <w:r>
        <w:rPr>
          <w:b/>
          <w:bCs/>
        </w:rPr>
        <w:t xml:space="preserve">1,740 state-months</w:t>
      </w:r>
      <w:r>
        <w:t xml:space="preserve"> </w:t>
      </w:r>
      <w:r>
        <w:t xml:space="preserve">= 15 states × 116 months (</w:t>
      </w:r>
      <w:r>
        <w:rPr>
          <w:b/>
          <w:bCs/>
        </w:rPr>
        <w:t xml:space="preserve">May 2015 – December 2024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States (15): Andhra Pradesh, Bihar, Delhi, Gujarat, Haryana, Karnataka, Kerala, Maharashtra, Odisha, Punjab, Rajasthan, Tamil Nadu, Telangana, Uttar Pradesh, West Bengal.</w:t>
      </w:r>
    </w:p>
    <w:p>
      <w:pPr>
        <w:pStyle w:val="Compact"/>
        <w:numPr>
          <w:ilvl w:val="0"/>
          <w:numId w:val="1001"/>
        </w:numPr>
      </w:pPr>
      <w:r>
        <w:t xml:space="preserve">Cumulative reported cases in panel:</w:t>
      </w:r>
      <w:r>
        <w:t xml:space="preserve"> </w:t>
      </w:r>
      <w:r>
        <w:rPr>
          <w:b/>
          <w:bCs/>
        </w:rPr>
        <w:t xml:space="preserve">1,266,346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States were retained only where continuous monthly reporting was available; states with sparse or annual-only data were excluded rather than disaggregated to monthly resolution.</w:t>
      </w:r>
    </w:p>
    <w:bookmarkEnd w:id="9"/>
    <w:bookmarkStart w:id="10" w:name="s2.-data-sources"/>
    <w:p>
      <w:pPr>
        <w:pStyle w:val="Heading2"/>
      </w:pPr>
      <w:r>
        <w:t xml:space="preserve">S2.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Dengue case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Vector Borne Disease Control Programme (NVBDCP / NCVBDC)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https://ncvbdc.mohfw.gov.in (accessed 5 Jan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Case-count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OpenDengue v1.x (Clarke et al.,</w:t>
            </w:r>
            <w:r>
              <w:t xml:space="preserve"> </w:t>
            </w:r>
            <w:r>
              <w:rPr>
                <w:i/>
                <w:iCs/>
              </w:rPr>
              <w:t xml:space="preserve">Sci Data</w:t>
            </w:r>
            <w:r>
              <w:t xml:space="preserve"> </w:t>
            </w:r>
            <w:r>
              <w:t xml:space="preserve">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https://opendengue.org (accessed 5 Jan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 (temperature, rainfall, humidity)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Meteorological Department gridded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system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 Aayog Health Index 2019-20 (Round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 Aayog,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GDP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of India / MoSPI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Energy &amp; Climate Index (SECI), Round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 Aayog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Urbanisation &amp;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 of India 2011 (urban share, population density)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 2011</w:t>
            </w:r>
          </w:p>
        </w:tc>
      </w:tr>
    </w:tbl>
    <w:bookmarkEnd w:id="10"/>
    <w:bookmarkStart w:id="11" w:name="Xc1fbb49177220818c8e5c93965f6e9ba4f4576b"/>
    <w:p>
      <w:pPr>
        <w:pStyle w:val="Heading2"/>
      </w:pPr>
      <w:r>
        <w:t xml:space="preserve">S3. Full feature set (25 predictors, four blocks)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Autoregressive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cases_lag1, cases_lag2, cases_lag3, cases_lag4, cases_rolling3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Seasonality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month_sin, month_cos, is_monsoon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temperature_c, rainfall_mm, humidity_pct, temp_lag1, temp_lag2, rain_lag1, rain_lag2, humidity_lag1, humidity_lag2, temp_rolling3, rain_rolling3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health_index_2019_20, gdp_pc, seci_score, urban_pct_2011, density_2011, population_millions</w:t>
            </w:r>
          </w:p>
        </w:tc>
      </w:tr>
    </w:tbl>
    <w:bookmarkEnd w:id="11"/>
    <w:bookmarkStart w:id="12" w:name="s4.-model-configuration"/>
    <w:p>
      <w:pPr>
        <w:pStyle w:val="Heading2"/>
      </w:pPr>
      <w:r>
        <w:t xml:space="preserve">S4. Model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Regressor:</w:t>
      </w:r>
      <w:r>
        <w:t xml:space="preserve"> </w:t>
      </w:r>
      <w:r>
        <w:t xml:space="preserve">GradientBoostingRegressor — 300 trees, max_depth 3, learning_rate 0.05, subsample 0.9, least-squares loss on log(1 + cases); predictions back-transformed (expm1) and clipped at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Classifier:</w:t>
      </w:r>
      <w:r>
        <w:t xml:space="preserve"> </w:t>
      </w:r>
      <w:r>
        <w:t xml:space="preserve">GradientBoostingClassifier (same ensemble settings); outbreak = month above the state-specific 75th percentile of cases (435/1,740 positives; 25.0%).</w:t>
      </w:r>
    </w:p>
    <w:p>
      <w:pPr>
        <w:pStyle w:val="Compact"/>
        <w:numPr>
          <w:ilvl w:val="0"/>
          <w:numId w:val="1002"/>
        </w:numPr>
      </w:pPr>
      <w:r>
        <w:t xml:space="preserve">Hyperparameters fixed a priori (no tuning on test folds), eliminating validation leakage.</w:t>
      </w:r>
    </w:p>
    <w:bookmarkEnd w:id="12"/>
    <w:bookmarkStart w:id="13" w:name="Xadc907b1e87d54a8287f8b034ef19561ac83cee"/>
    <w:p>
      <w:pPr>
        <w:pStyle w:val="Heading2"/>
      </w:pPr>
      <w:r>
        <w:t xml:space="preserve">S5. Cross-validation detail (5-fold blocked TimeSeriesSplit, case scale)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±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0.892 ± 0.028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232.5 ± 24.2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131.6 ± 13.8</w:t>
            </w:r>
          </w:p>
        </w:tc>
      </w:tr>
    </w:tbl>
    <w:p>
      <w:pPr>
        <w:pStyle w:val="BodyText"/>
      </w:pPr>
      <w:r>
        <w:t xml:space="preserve">Classifier: pooled out-of-fold AUC = 0.936; mean per-fold AUC = 0.938 ± 0.018; sensitivity (Youden-optimal threshold) = 0.909.</w:t>
      </w:r>
    </w:p>
    <w:bookmarkEnd w:id="13"/>
    <w:bookmarkStart w:id="14" w:name="Xee9d1269be2e29b35e8a41cd5e3fb224a5104f7"/>
    <w:p>
      <w:pPr>
        <w:pStyle w:val="Heading2"/>
      </w:pPr>
      <w:r>
        <w:t xml:space="preserve">S6. Driver decomposition (grouped Gini importance)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Autoregressive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</w:tbl>
    <w:p>
      <w:pPr>
        <w:pStyle w:val="BodyText"/>
      </w:pPr>
      <w:r>
        <w:t xml:space="preserve">Leading individual features: month_sin (70.0%), cases_rolling3 (18.1%), month_cos (3.8%), urban_pct_2011 (3.0%), cases_lag1 (1.3%), health_index_2019_20 (0.7%).</w:t>
      </w:r>
    </w:p>
    <w:bookmarkEnd w:id="14"/>
    <w:bookmarkStart w:id="15" w:name="Xaf56c61aa87df4572201b338cf77625de3c2d87"/>
    <w:p>
      <w:pPr>
        <w:pStyle w:val="Heading2"/>
      </w:pPr>
      <w:r>
        <w:t xml:space="preserve">S7. Between-state vulnerability association (Spearman, n = 15 states)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 vs mean monthly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NITI Health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</w:tbl>
    <w:bookmarkEnd w:id="15"/>
    <w:bookmarkStart w:id="16" w:name="s8.-field-scorecard-validation"/>
    <w:p>
      <w:pPr>
        <w:pStyle w:val="Heading2"/>
      </w:pPr>
      <w:r>
        <w:t xml:space="preserve">S8. Field Scorecard validation</w:t>
      </w:r>
    </w:p>
    <w:p>
      <w:pPr>
        <w:pStyle w:val="FirstParagraph"/>
      </w:pPr>
      <w:r>
        <w:t xml:space="preserve">The 0–6 ordinal Field Scorecard (active monsoon; prior month above local median; elevated 2-month-lagged rainfall; seasonal peak window) correlated with the full model’s forecast at</w:t>
      </w:r>
      <w:r>
        <w:t xml:space="preserve"> </w:t>
      </w:r>
      <w:r>
        <w:rPr>
          <w:b/>
          <w:bCs/>
        </w:rPr>
        <w:t xml:space="preserve">Spearman ρ = 0.76 (p &lt; 0.001)</w:t>
      </w:r>
      <w:r>
        <w:t xml:space="preserve"> </w:t>
      </w:r>
      <w:r>
        <w:t xml:space="preserve">across all 1,740 state-months.</w:t>
      </w:r>
    </w:p>
    <w:bookmarkEnd w:id="16"/>
    <w:bookmarkStart w:id="17" w:name="s9.-sensitivity-analysis-and-data-notes"/>
    <w:p>
      <w:pPr>
        <w:pStyle w:val="Heading2"/>
      </w:pPr>
      <w:r>
        <w:t xml:space="preserve">S9. Sensitivity analysis and data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Missing-value sensitivity.</w:t>
      </w:r>
      <w:r>
        <w:t xml:space="preserve"> </w:t>
      </w:r>
      <w:r>
        <w:t xml:space="preserve">The NITI Aayog Health Index 2019-20 value for West Bengal was absent in the source release and median-imputed. Re-running the full cross-validation</w:t>
      </w:r>
      <w:r>
        <w:t xml:space="preserve"> </w:t>
      </w:r>
      <w:r>
        <w:rPr>
          <w:b/>
          <w:bCs/>
        </w:rPr>
        <w:t xml:space="preserve">excluding West Bengal</w:t>
      </w:r>
      <w:r>
        <w:t xml:space="preserve"> </w:t>
      </w:r>
      <w:r>
        <w:t xml:space="preserve">changed the headline R² from 0.8925 to 0.8899 (</w:t>
      </w:r>
      <w:r>
        <w:rPr>
          <w:b/>
          <w:bCs/>
        </w:rPr>
        <w:t xml:space="preserve">ΔR² = 0.003</w:t>
      </w:r>
      <w:r>
        <w:t xml:space="preserve">) and preserved the driver hierarchy (seasonality 74.5%, autoregressive 18.3%, vulnerability 6.2%, climate 1.0%). The imputation is therefore non-influential.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covariates.</w:t>
      </w:r>
      <w:r>
        <w:t xml:space="preserve"> </w:t>
      </w:r>
      <w:r>
        <w:t xml:space="preserve">Structural indices are single-year and inform between-state contrasts rather than within-state temporal change; this is why they contribute modestly to month-ahead prediction yet pattern cross-state burden (S7).</w:t>
      </w:r>
    </w:p>
    <w:bookmarkEnd w:id="17"/>
    <w:bookmarkStart w:id="18" w:name="Xe7fdd1075c56a07c30af93466cd1043ef9da99c"/>
    <w:p>
      <w:pPr>
        <w:pStyle w:val="Heading2"/>
      </w:pPr>
      <w:r>
        <w:t xml:space="preserve">S10. Full state risk scorecard (all 15 states)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Index (2019-20)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(0–100)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Bengal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Andhra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Haryana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Gujarat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Telangana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Odisha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*West Bengal Health Index median-imputed (absent in source release).</w:t>
      </w:r>
    </w:p>
    <w:bookmarkEnd w:id="18"/>
    <w:bookmarkStart w:id="19" w:name="s11.-reproducibility"/>
    <w:p>
      <w:pPr>
        <w:pStyle w:val="Heading2"/>
      </w:pPr>
      <w:r>
        <w:t xml:space="preserve">S11. Reproducibility</w:t>
      </w:r>
    </w:p>
    <w:p>
      <w:pPr>
        <w:pStyle w:val="FirstParagraph"/>
      </w:pPr>
      <w:r>
        <w:t xml:space="preserve">Python 3.14 with scikit-learn 1.7.2, pandas 2.3.3, NumPy 2.3.5, SciPy 1.16.3, GeoPandas 1.1.1, Matplotlib and seaborn. Pipeline:</w:t>
      </w:r>
      <w:r>
        <w:t xml:space="preserve"> </w:t>
      </w:r>
      <w:r>
        <w:rPr>
          <w:rStyle w:val="VerbatimChar"/>
        </w:rPr>
        <w:t xml:space="preserve">src/11_rigorous_pipeline.py</w:t>
      </w:r>
      <w:r>
        <w:t xml:space="preserve"> </w:t>
      </w:r>
      <w:r>
        <w:t xml:space="preserve">(model + metrics),</w:t>
      </w:r>
      <w:r>
        <w:t xml:space="preserve"> </w:t>
      </w:r>
      <w:r>
        <w:rPr>
          <w:rStyle w:val="VerbatimChar"/>
        </w:rPr>
        <w:t xml:space="preserve">src/12_generate_figures.py</w:t>
      </w:r>
      <w:r>
        <w:t xml:space="preserve"> </w:t>
      </w:r>
      <w:r>
        <w:t xml:space="preserve">(figures),</w:t>
      </w:r>
      <w:r>
        <w:t xml:space="preserve"> </w:t>
      </w:r>
      <w:r>
        <w:rPr>
          <w:rStyle w:val="VerbatimChar"/>
        </w:rPr>
        <w:t xml:space="preserve">src/13_build_double_column_docx.py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src/14_build_latex_pdf.py</w:t>
      </w:r>
      <w:r>
        <w:t xml:space="preserve"> </w:t>
      </w:r>
      <w:r>
        <w:t xml:space="preserve">(manuscript). Repository: https://github.com/hssling/Dengue_Outbreak_Prediction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2026-06-15T15:23:23Z</dcterms:created>
  <dcterms:modified xsi:type="dcterms:W3CDTF">2026-06-15T15:23:23Z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